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0B1BE">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ascii="方正小标宋简体" w:hAnsi="仿宋" w:eastAsia="方正小标宋简体"/>
          <w:spacing w:val="-4"/>
          <w:sz w:val="44"/>
          <w:szCs w:val="44"/>
        </w:rPr>
      </w:pPr>
      <w:r>
        <w:rPr>
          <w:rFonts w:hint="eastAsia" w:ascii="方正小标宋简体" w:hAnsi="仿宋" w:eastAsia="方正小标宋简体" w:cs="方正小标宋简体"/>
          <w:spacing w:val="-4"/>
          <w:sz w:val="44"/>
          <w:szCs w:val="44"/>
        </w:rPr>
        <w:t>2026年自治区仿制药质量和疗效</w:t>
      </w:r>
    </w:p>
    <w:p w14:paraId="3F739CC2">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ascii="方正小标宋简体" w:hAnsi="仿宋" w:eastAsia="方正小标宋简体"/>
          <w:spacing w:val="-4"/>
          <w:sz w:val="44"/>
          <w:szCs w:val="44"/>
        </w:rPr>
      </w:pPr>
      <w:r>
        <w:rPr>
          <w:rFonts w:hint="eastAsia" w:ascii="方正小标宋简体" w:hAnsi="仿宋" w:eastAsia="方正小标宋简体" w:cs="方正小标宋简体"/>
          <w:spacing w:val="-4"/>
          <w:sz w:val="44"/>
          <w:szCs w:val="44"/>
        </w:rPr>
        <w:t>一致性评价项目申报指南</w:t>
      </w:r>
    </w:p>
    <w:p w14:paraId="020A7780">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ascii="方正小标宋简体" w:hAnsi="仿宋" w:eastAsia="方正小标宋简体"/>
          <w:spacing w:val="-4"/>
          <w:sz w:val="44"/>
          <w:szCs w:val="44"/>
        </w:rPr>
      </w:pPr>
    </w:p>
    <w:p w14:paraId="6CB0BE6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rPr>
      </w:pPr>
      <w:r>
        <w:rPr>
          <w:rFonts w:hint="eastAsia" w:ascii="CESI仿宋-GB2312" w:hAnsi="CESI仿宋-GB2312" w:eastAsia="CESI仿宋-GB2312" w:cs="CESI仿宋-GB2312"/>
          <w:b w:val="0"/>
          <w:bCs/>
          <w:sz w:val="32"/>
          <w:szCs w:val="32"/>
          <w:lang w:val="en-US" w:eastAsia="zh-CN" w:bidi="ar-SA"/>
        </w:rPr>
        <w:t>为鼓励自治区医药企业开展优质仿制药研发，提升仿制药质量和疗效，规范和加强仿制药一致性评价奖补资金管理，制定本指南。</w:t>
      </w:r>
    </w:p>
    <w:p w14:paraId="0A546A41">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ascii="黑体" w:hAnsi="黑体" w:eastAsia="黑体"/>
          <w:sz w:val="32"/>
          <w:szCs w:val="32"/>
        </w:rPr>
      </w:pPr>
      <w:r>
        <w:rPr>
          <w:rFonts w:hint="eastAsia" w:ascii="黑体" w:hAnsi="黑体" w:eastAsia="黑体" w:cs="黑体"/>
          <w:sz w:val="32"/>
          <w:szCs w:val="32"/>
        </w:rPr>
        <w:t>一、支持方向</w:t>
      </w:r>
    </w:p>
    <w:p w14:paraId="7843606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lang w:val="en-US" w:eastAsia="zh-CN" w:bidi="ar-SA"/>
        </w:rPr>
      </w:pPr>
      <w:r>
        <w:rPr>
          <w:rFonts w:hint="eastAsia" w:ascii="CESI仿宋-GB2312" w:hAnsi="CESI仿宋-GB2312" w:eastAsia="CESI仿宋-GB2312" w:cs="CESI仿宋-GB2312"/>
          <w:b w:val="0"/>
          <w:bCs/>
          <w:sz w:val="32"/>
          <w:szCs w:val="32"/>
          <w:lang w:val="en-US" w:eastAsia="zh-CN" w:bidi="ar-SA"/>
        </w:rPr>
        <w:t>支持医药企业开展优质仿制药研发，对2022年1月1日后</w:t>
      </w:r>
      <w:r>
        <w:rPr>
          <w:rFonts w:hint="default" w:ascii="CESI仿宋-GB2312" w:hAnsi="CESI仿宋-GB2312" w:eastAsia="CESI仿宋-GB2312" w:cs="CESI仿宋-GB2312"/>
          <w:b w:val="0"/>
          <w:bCs/>
          <w:sz w:val="32"/>
          <w:szCs w:val="32"/>
          <w:lang w:val="en-US" w:eastAsia="zh-CN" w:bidi="ar-SA"/>
        </w:rPr>
        <w:t>按新化学药品注册分类注册申请获批或通过仿制药一致性评价的药品品种给予奖补</w:t>
      </w:r>
      <w:r>
        <w:rPr>
          <w:rFonts w:hint="eastAsia" w:ascii="CESI仿宋-GB2312" w:hAnsi="CESI仿宋-GB2312" w:eastAsia="CESI仿宋-GB2312" w:cs="CESI仿宋-GB2312"/>
          <w:b w:val="0"/>
          <w:bCs/>
          <w:sz w:val="32"/>
          <w:szCs w:val="32"/>
          <w:lang w:val="en-US" w:eastAsia="zh-CN" w:bidi="ar-SA"/>
        </w:rPr>
        <w:t>，原则上单个品种奖补总额不超过300万元。奖补资金按照申报品种实际发生费用核定，实际发生费用包括参比制剂采购、药学研究、生物等效性试验、注册检验等费用，以不含税价格计算；向关联方采购的，按不高于市场公允价格核定。获批或通过时间以批件载明的批准日期为准。</w:t>
      </w:r>
    </w:p>
    <w:p w14:paraId="7183947E">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ascii="黑体" w:hAnsi="黑体" w:eastAsia="黑体"/>
          <w:sz w:val="32"/>
          <w:szCs w:val="32"/>
        </w:rPr>
      </w:pPr>
      <w:r>
        <w:rPr>
          <w:rFonts w:hint="eastAsia" w:ascii="黑体" w:hAnsi="黑体" w:eastAsia="黑体" w:cs="黑体"/>
          <w:sz w:val="32"/>
          <w:szCs w:val="32"/>
        </w:rPr>
        <w:t>二、申报资格及条件</w:t>
      </w:r>
    </w:p>
    <w:p w14:paraId="203138F0">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lang w:val="en-US" w:eastAsia="zh-CN" w:bidi="ar-SA"/>
        </w:rPr>
      </w:pPr>
      <w:r>
        <w:rPr>
          <w:rFonts w:hint="eastAsia" w:ascii="CESI仿宋-GB2312" w:hAnsi="CESI仿宋-GB2312" w:eastAsia="CESI仿宋-GB2312" w:cs="CESI仿宋-GB2312"/>
          <w:b w:val="0"/>
          <w:bCs/>
          <w:sz w:val="32"/>
          <w:szCs w:val="32"/>
          <w:lang w:val="en-US" w:eastAsia="zh-CN" w:bidi="ar-SA"/>
        </w:rPr>
        <w:t>（一）自治区行政区域内注册企业，独立法人资格，未被列入严重失信主体名单；</w:t>
      </w:r>
    </w:p>
    <w:p w14:paraId="123E12A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lang w:val="en-US" w:eastAsia="zh-CN" w:bidi="ar-SA"/>
        </w:rPr>
      </w:pPr>
      <w:r>
        <w:rPr>
          <w:rFonts w:hint="eastAsia" w:ascii="CESI仿宋-GB2312" w:hAnsi="CESI仿宋-GB2312" w:eastAsia="CESI仿宋-GB2312" w:cs="CESI仿宋-GB2312"/>
          <w:b w:val="0"/>
          <w:bCs/>
          <w:sz w:val="32"/>
          <w:szCs w:val="32"/>
          <w:lang w:val="en-US" w:eastAsia="zh-CN" w:bidi="ar-SA"/>
        </w:rPr>
        <w:t>（二）无违法、违纪、违规行为，自申报截止日期前三年内未发生过重大环境污染事件或安全生产事故；</w:t>
      </w:r>
    </w:p>
    <w:p w14:paraId="0BD33A0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highlight w:val="yellow"/>
          <w:lang w:val="en-US" w:eastAsia="zh-CN" w:bidi="ar-SA"/>
        </w:rPr>
      </w:pPr>
      <w:r>
        <w:rPr>
          <w:rFonts w:hint="eastAsia" w:ascii="CESI仿宋-GB2312" w:hAnsi="CESI仿宋-GB2312" w:eastAsia="CESI仿宋-GB2312" w:cs="CESI仿宋-GB2312"/>
          <w:b w:val="0"/>
          <w:bCs/>
          <w:sz w:val="32"/>
          <w:szCs w:val="32"/>
          <w:lang w:val="en-US" w:eastAsia="zh-CN" w:bidi="ar-SA"/>
        </w:rPr>
        <w:t>（三）申报品种为按新化学药品注册分类注册申请并获批，或通过仿制药质量和疗效一致性评价的药品品种，品种批件持有人为申报企业</w:t>
      </w:r>
      <w:r>
        <w:rPr>
          <w:rFonts w:hint="eastAsia" w:ascii="CESI仿宋-GB2312" w:hAnsi="CESI仿宋-GB2312" w:eastAsia="CESI仿宋-GB2312" w:cs="CESI仿宋-GB2312"/>
          <w:b w:val="0"/>
          <w:bCs/>
          <w:sz w:val="32"/>
          <w:szCs w:val="32"/>
          <w:highlight w:val="none"/>
          <w:lang w:val="en-US" w:eastAsia="zh-CN" w:bidi="ar-SA"/>
        </w:rPr>
        <w:t>。</w:t>
      </w:r>
    </w:p>
    <w:p w14:paraId="3DB11BCC">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ascii="黑体" w:hAnsi="黑体" w:eastAsia="黑体"/>
          <w:sz w:val="32"/>
          <w:szCs w:val="32"/>
        </w:rPr>
      </w:pPr>
      <w:r>
        <w:rPr>
          <w:rFonts w:hint="eastAsia" w:ascii="黑体" w:hAnsi="黑体" w:eastAsia="黑体" w:cs="黑体"/>
          <w:sz w:val="32"/>
          <w:szCs w:val="32"/>
        </w:rPr>
        <w:t>三、申报材料</w:t>
      </w:r>
    </w:p>
    <w:p w14:paraId="31C76EEB">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仿宋" w:hAnsi="仿宋" w:eastAsia="仿宋" w:cs="楷体"/>
          <w:bCs/>
          <w:sz w:val="32"/>
          <w:szCs w:val="32"/>
        </w:rPr>
      </w:pPr>
      <w:r>
        <w:rPr>
          <w:rFonts w:hint="eastAsia" w:ascii="仿宋" w:hAnsi="仿宋" w:eastAsia="仿宋" w:cs="楷体"/>
          <w:sz w:val="32"/>
          <w:szCs w:val="32"/>
        </w:rPr>
        <w:t>（一）</w:t>
      </w:r>
      <w:r>
        <w:rPr>
          <w:rFonts w:hint="eastAsia" w:ascii="仿宋_GB2312" w:hAnsi="仿宋_GB2312" w:eastAsia="仿宋_GB2312" w:cs="仿宋_GB2312"/>
          <w:color w:val="000000"/>
          <w:sz w:val="32"/>
          <w:szCs w:val="22"/>
          <w:lang w:eastAsia="zh-CN"/>
        </w:rPr>
        <w:t>盟市工信、财政部门联合上报的申请文件</w:t>
      </w:r>
      <w:r>
        <w:rPr>
          <w:rFonts w:hint="eastAsia" w:ascii="仿宋" w:hAnsi="仿宋" w:eastAsia="仿宋" w:cs="楷体"/>
          <w:sz w:val="32"/>
          <w:szCs w:val="32"/>
          <w:lang w:eastAsia="zh-CN"/>
        </w:rPr>
        <w:t>；</w:t>
      </w:r>
    </w:p>
    <w:p w14:paraId="10FF6B8F">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sz w:val="32"/>
          <w:szCs w:val="32"/>
          <w:lang w:eastAsia="zh-CN"/>
        </w:rPr>
        <w:t>（二）</w:t>
      </w:r>
      <w:r>
        <w:rPr>
          <w:rFonts w:hint="eastAsia" w:ascii="仿宋" w:hAnsi="仿宋" w:eastAsia="仿宋" w:cs="仿宋"/>
          <w:sz w:val="32"/>
          <w:szCs w:val="32"/>
          <w:lang w:eastAsia="zh-CN"/>
        </w:rPr>
        <w:t>内蒙古自治区</w:t>
      </w:r>
      <w:r>
        <w:rPr>
          <w:rFonts w:hint="eastAsia" w:ascii="仿宋" w:hAnsi="仿宋" w:eastAsia="仿宋" w:cs="楷体"/>
          <w:sz w:val="32"/>
          <w:szCs w:val="32"/>
          <w:lang w:eastAsia="zh-CN"/>
        </w:rPr>
        <w:t>仿制药一致性评价</w:t>
      </w:r>
      <w:r>
        <w:rPr>
          <w:rFonts w:hint="eastAsia" w:ascii="仿宋" w:hAnsi="仿宋" w:eastAsia="仿宋" w:cs="仿宋"/>
          <w:sz w:val="32"/>
          <w:szCs w:val="32"/>
          <w:lang w:eastAsia="zh-CN"/>
        </w:rPr>
        <w:t>专项资金</w:t>
      </w:r>
      <w:r>
        <w:rPr>
          <w:rFonts w:hint="eastAsia" w:ascii="仿宋" w:hAnsi="仿宋" w:eastAsia="仿宋" w:cs="楷体"/>
          <w:sz w:val="32"/>
          <w:szCs w:val="32"/>
          <w:lang w:eastAsia="zh-CN"/>
        </w:rPr>
        <w:t>项目申报表；</w:t>
      </w:r>
    </w:p>
    <w:p w14:paraId="4CC78A4B">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sz w:val="32"/>
          <w:szCs w:val="32"/>
          <w:lang w:eastAsia="zh-CN"/>
        </w:rPr>
        <w:t>（三）营业执照复印件、药品生产许可证复印件（含药品GMP符合性检查信息页或相关证明文件）；</w:t>
      </w:r>
    </w:p>
    <w:p w14:paraId="5FE7E7B7">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仿宋" w:hAnsi="仿宋" w:eastAsia="仿宋" w:cs="楷体"/>
          <w:bCs/>
          <w:sz w:val="32"/>
          <w:szCs w:val="32"/>
          <w:lang w:eastAsia="zh-CN"/>
        </w:rPr>
      </w:pPr>
      <w:r>
        <w:rPr>
          <w:rFonts w:hint="eastAsia" w:ascii="仿宋" w:hAnsi="仿宋" w:eastAsia="仿宋" w:cs="楷体"/>
          <w:sz w:val="32"/>
          <w:szCs w:val="32"/>
          <w:lang w:eastAsia="zh-CN"/>
        </w:rPr>
        <w:t>（四）企业根据自身情况，提供以下之一：</w:t>
      </w:r>
    </w:p>
    <w:p w14:paraId="7057E3CF">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仿宋" w:hAnsi="仿宋" w:eastAsia="仿宋" w:cs="楷体"/>
          <w:bCs/>
          <w:sz w:val="32"/>
          <w:szCs w:val="32"/>
        </w:rPr>
      </w:pPr>
      <w:r>
        <w:rPr>
          <w:rFonts w:hint="eastAsia" w:ascii="仿宋" w:hAnsi="仿宋" w:eastAsia="仿宋" w:cs="楷体"/>
          <w:sz w:val="32"/>
          <w:szCs w:val="32"/>
        </w:rPr>
        <w:t>1.按照新化学药品注册分类注册申请药品品种批件复印件，开展药品研发上市投入资金情况说明及财务报表。</w:t>
      </w:r>
    </w:p>
    <w:p w14:paraId="4A7BA94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lang w:val="en-US" w:eastAsia="zh-CN" w:bidi="ar-SA"/>
        </w:rPr>
      </w:pPr>
      <w:r>
        <w:rPr>
          <w:rFonts w:hint="eastAsia" w:ascii="仿宋" w:hAnsi="仿宋" w:eastAsia="仿宋" w:cs="楷体"/>
          <w:sz w:val="32"/>
          <w:szCs w:val="32"/>
          <w:highlight w:val="none"/>
          <w:lang w:eastAsia="zh-CN"/>
        </w:rPr>
        <w:t>2.通过仿制药质量和疗效一致性评价补充申请批件复印件</w:t>
      </w:r>
      <w:r>
        <w:rPr>
          <w:rFonts w:hint="eastAsia" w:ascii="CESI仿宋-GB2312" w:hAnsi="CESI仿宋-GB2312" w:eastAsia="CESI仿宋-GB2312" w:cs="CESI仿宋-GB2312"/>
          <w:b w:val="0"/>
          <w:bCs/>
          <w:sz w:val="32"/>
          <w:szCs w:val="32"/>
          <w:highlight w:val="none"/>
          <w:lang w:val="en-US" w:eastAsia="zh-CN" w:bidi="ar-SA"/>
        </w:rPr>
        <w:t>、开展一</w:t>
      </w:r>
      <w:r>
        <w:rPr>
          <w:rFonts w:hint="eastAsia" w:ascii="CESI仿宋-GB2312" w:hAnsi="CESI仿宋-GB2312" w:eastAsia="CESI仿宋-GB2312" w:cs="CESI仿宋-GB2312"/>
          <w:b w:val="0"/>
          <w:bCs/>
          <w:sz w:val="32"/>
          <w:szCs w:val="32"/>
          <w:lang w:val="en-US" w:eastAsia="zh-CN" w:bidi="ar-SA"/>
        </w:rPr>
        <w:t>致性评价品种投入资金情况说明及财务报表；上述投入资金须提供专项审计报告及费用明细（合同、发票、银行付款凭证）；委托第三方机构开展药学研究、生物等效性试验等发生的费用，凭委托合同、发票及付款凭证计入，向关联方委托的按不高于市场公允价格核定。</w:t>
      </w:r>
    </w:p>
    <w:p w14:paraId="12589C6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lang w:val="en-US" w:eastAsia="zh-CN" w:bidi="ar-SA"/>
        </w:rPr>
      </w:pPr>
      <w:r>
        <w:rPr>
          <w:rFonts w:hint="eastAsia" w:ascii="CESI仿宋-GB2312" w:hAnsi="CESI仿宋-GB2312" w:eastAsia="CESI仿宋-GB2312" w:cs="CESI仿宋-GB2312"/>
          <w:b w:val="0"/>
          <w:bCs/>
          <w:sz w:val="32"/>
          <w:szCs w:val="32"/>
          <w:lang w:val="en-US" w:eastAsia="zh-CN" w:bidi="ar-SA"/>
        </w:rPr>
        <w:t>（五）信用中国、</w:t>
      </w:r>
      <w:r>
        <w:rPr>
          <w:rFonts w:hint="eastAsia" w:ascii="CESI仿宋-GB2312" w:hAnsi="CESI仿宋-GB2312" w:eastAsia="CESI仿宋-GB2312" w:cs="CESI仿宋-GB2312"/>
          <w:b w:val="0"/>
          <w:bCs/>
          <w:sz w:val="32"/>
          <w:szCs w:val="32"/>
          <w:highlight w:val="none"/>
          <w:lang w:val="en-US" w:eastAsia="zh-CN" w:bidi="ar-SA"/>
        </w:rPr>
        <w:t>中国执行信息公开网查询下载的企业信用查询报告（报告生成时间为申报截止日期前一周</w:t>
      </w:r>
      <w:r>
        <w:rPr>
          <w:rFonts w:hint="eastAsia" w:ascii="CESI仿宋-GB2312" w:hAnsi="CESI仿宋-GB2312" w:eastAsia="CESI仿宋-GB2312" w:cs="CESI仿宋-GB2312"/>
          <w:b w:val="0"/>
          <w:bCs/>
          <w:sz w:val="32"/>
          <w:szCs w:val="32"/>
          <w:lang w:val="en-US" w:eastAsia="zh-CN" w:bidi="ar-SA"/>
        </w:rPr>
        <w:t>内）。</w:t>
      </w:r>
    </w:p>
    <w:p w14:paraId="28BF5752">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lang w:val="en-US" w:eastAsia="zh-CN" w:bidi="ar-SA"/>
        </w:rPr>
      </w:pPr>
      <w:r>
        <w:rPr>
          <w:rFonts w:hint="eastAsia" w:ascii="CESI仿宋-GB2312" w:hAnsi="CESI仿宋-GB2312" w:eastAsia="CESI仿宋-GB2312" w:cs="CESI仿宋-GB2312"/>
          <w:b w:val="0"/>
          <w:bCs/>
          <w:sz w:val="32"/>
          <w:szCs w:val="32"/>
          <w:lang w:val="en-US" w:eastAsia="zh-CN" w:bidi="ar-SA"/>
        </w:rPr>
        <w:t>（六）自治区仿制药一致性评价奖补资金绩效目标表。</w:t>
      </w:r>
    </w:p>
    <w:p w14:paraId="17BF59FB">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四、申报程序</w:t>
      </w:r>
    </w:p>
    <w:p w14:paraId="6AA03A4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CESI仿宋-GB2312" w:hAnsi="CESI仿宋-GB2312" w:eastAsia="CESI仿宋-GB2312" w:cs="CESI仿宋-GB2312"/>
          <w:b w:val="0"/>
          <w:bCs/>
          <w:sz w:val="32"/>
          <w:szCs w:val="32"/>
          <w:lang w:val="en-US" w:eastAsia="zh-CN" w:bidi="ar-SA"/>
        </w:rPr>
      </w:pPr>
      <w:r>
        <w:rPr>
          <w:rFonts w:hint="eastAsia" w:ascii="CESI仿宋-GB2312" w:hAnsi="CESI仿宋-GB2312" w:eastAsia="CESI仿宋-GB2312" w:cs="CESI仿宋-GB2312"/>
          <w:b w:val="0"/>
          <w:bCs/>
          <w:sz w:val="32"/>
          <w:szCs w:val="32"/>
          <w:lang w:val="en-US" w:eastAsia="zh-CN" w:bidi="ar-SA"/>
        </w:rPr>
        <w:t>申报企业在申报截止日期前将申报材料逐级上报，企业所在旗县（区）工信部门对企业申报材料进行初审，核实相关证件、数据并实地查验项目情况，形成项目核验报告及初审意见报送盟市工信局；盟市工信局对旗县（区）工信部门报送的材料进行审核（必要时可抽查）汇总后统一报送自治区工信厅。</w:t>
      </w:r>
    </w:p>
    <w:p w14:paraId="54CBFE63">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五、绩效目标</w:t>
      </w:r>
    </w:p>
    <w:p w14:paraId="65139822">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CESI仿宋-GB2312" w:hAnsi="CESI仿宋-GB2312" w:eastAsia="CESI仿宋-GB2312" w:cs="CESI仿宋-GB2312"/>
          <w:b w:val="0"/>
          <w:bCs/>
          <w:sz w:val="32"/>
          <w:szCs w:val="32"/>
          <w:lang w:val="en-US" w:eastAsia="zh-CN" w:bidi="ar-SA"/>
        </w:rPr>
      </w:pPr>
      <w:r>
        <w:rPr>
          <w:rFonts w:hint="eastAsia" w:ascii="仿宋" w:hAnsi="仿宋" w:eastAsia="仿宋" w:cs="楷体"/>
          <w:sz w:val="32"/>
          <w:szCs w:val="32"/>
        </w:rPr>
        <w:t>开展优质仿制药研发，</w:t>
      </w:r>
      <w:r>
        <w:rPr>
          <w:rFonts w:hint="eastAsia" w:ascii="CESI仿宋-GB2312" w:hAnsi="CESI仿宋-GB2312" w:eastAsia="CESI仿宋-GB2312" w:cs="CESI仿宋-GB2312"/>
          <w:b w:val="0"/>
          <w:bCs/>
          <w:sz w:val="32"/>
          <w:szCs w:val="32"/>
          <w:lang w:val="en-US" w:eastAsia="zh-CN" w:bidi="ar-SA"/>
        </w:rPr>
        <w:t>对接国际原研药标准，提升化学药药品质量。</w:t>
      </w:r>
    </w:p>
    <w:p w14:paraId="1C8CA8E6">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国标黑体" w:hAnsi="国标黑体" w:eastAsia="国标黑体" w:cs="国标黑体"/>
          <w:bCs/>
          <w:sz w:val="32"/>
          <w:szCs w:val="32"/>
        </w:rPr>
      </w:pPr>
      <w:r>
        <w:rPr>
          <w:rFonts w:hint="eastAsia" w:ascii="国标黑体" w:hAnsi="国标黑体" w:eastAsia="国标黑体" w:cs="国标黑体"/>
          <w:sz w:val="32"/>
          <w:szCs w:val="32"/>
          <w:lang w:eastAsia="zh-CN"/>
        </w:rPr>
        <w:t>六</w:t>
      </w:r>
      <w:r>
        <w:rPr>
          <w:rFonts w:hint="eastAsia" w:ascii="国标黑体" w:hAnsi="国标黑体" w:eastAsia="国标黑体" w:cs="国标黑体"/>
          <w:sz w:val="32"/>
          <w:szCs w:val="32"/>
        </w:rPr>
        <w:t>、其他</w:t>
      </w:r>
    </w:p>
    <w:p w14:paraId="43214061">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仿宋" w:hAnsi="仿宋" w:eastAsia="仿宋" w:cs="楷体"/>
          <w:sz w:val="32"/>
          <w:szCs w:val="32"/>
          <w:lang w:eastAsia="zh-CN"/>
        </w:rPr>
      </w:pPr>
      <w:r>
        <w:rPr>
          <w:rFonts w:hint="eastAsia" w:ascii="仿宋" w:hAnsi="仿宋" w:eastAsia="仿宋" w:cs="楷体"/>
          <w:sz w:val="32"/>
          <w:szCs w:val="32"/>
          <w:lang w:eastAsia="zh-CN"/>
        </w:rPr>
        <w:t>资金项目申请报告正文及附件须加盖单位公章，纸质版报告须正反印刷，字迹、印章清楚，装订成册，报告封面侧边（书脊）处标明申报单位及项目名称。相关附件资料必须以扫描图片方式一并置入本项目申请报告中，且要求字迹及公章清晰。申报截止日期及受理方式以年度申报通知为准。对弄虚作假骗取奖补资金的，全额收回奖补资金，纳入信用记录，三年内不得申报自治区工业和信息化领域专项资金；涉嫌犯罪的，移送司法机关依法处理。</w:t>
      </w:r>
    </w:p>
    <w:p w14:paraId="135B8CED">
      <w:pPr>
        <w:keepNext w:val="0"/>
        <w:keepLines w:val="0"/>
        <w:pageBreakBefore w:val="0"/>
        <w:widowControl w:val="0"/>
        <w:kinsoku/>
        <w:wordWrap/>
        <w:overflowPunct/>
        <w:topLinePunct w:val="0"/>
        <w:autoSpaceDE/>
        <w:autoSpaceDN/>
        <w:bidi w:val="0"/>
        <w:adjustRightInd/>
        <w:snapToGrid/>
        <w:spacing w:line="575" w:lineRule="exact"/>
        <w:ind w:firstLine="640" w:firstLineChars="200"/>
        <w:jc w:val="left"/>
        <w:textAlignment w:val="auto"/>
        <w:rPr>
          <w:rFonts w:hint="eastAsia" w:ascii="仿宋" w:hAnsi="仿宋" w:eastAsia="仿宋" w:cs="楷体"/>
          <w:sz w:val="32"/>
          <w:szCs w:val="32"/>
          <w:lang w:eastAsia="zh-CN"/>
        </w:rPr>
      </w:pPr>
    </w:p>
    <w:p w14:paraId="0BC3882A">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jc w:val="left"/>
        <w:textAlignment w:val="auto"/>
        <w:rPr>
          <w:rFonts w:hint="eastAsia" w:ascii="仿宋" w:hAnsi="仿宋" w:eastAsia="仿宋"/>
          <w:bCs/>
          <w:sz w:val="32"/>
          <w:szCs w:val="32"/>
        </w:rPr>
      </w:pPr>
      <w:r>
        <w:rPr>
          <w:rFonts w:hint="eastAsia" w:ascii="仿宋" w:hAnsi="仿宋" w:eastAsia="仿宋" w:cs="仿宋"/>
          <w:sz w:val="32"/>
          <w:szCs w:val="32"/>
        </w:rPr>
        <w:t>附件：1.内蒙古自治区仿制药一致性评价专项资金项目申报表</w:t>
      </w:r>
    </w:p>
    <w:p w14:paraId="3B44897B">
      <w:pPr>
        <w:keepNext w:val="0"/>
        <w:keepLines w:val="0"/>
        <w:pageBreakBefore w:val="0"/>
        <w:widowControl w:val="0"/>
        <w:kinsoku/>
        <w:wordWrap/>
        <w:overflowPunct/>
        <w:topLinePunct w:val="0"/>
        <w:autoSpaceDE/>
        <w:autoSpaceDN/>
        <w:bidi w:val="0"/>
        <w:adjustRightInd/>
        <w:snapToGrid/>
        <w:spacing w:line="575" w:lineRule="exact"/>
        <w:ind w:left="1596" w:leftChars="760" w:firstLine="0" w:firstLineChars="0"/>
        <w:jc w:val="left"/>
        <w:textAlignment w:val="auto"/>
        <w:rPr>
          <w:rFonts w:ascii="仿宋" w:hAnsi="仿宋" w:eastAsia="仿宋"/>
          <w:bCs/>
          <w:sz w:val="32"/>
          <w:szCs w:val="32"/>
        </w:rPr>
      </w:pPr>
      <w:r>
        <w:rPr>
          <w:rFonts w:hint="eastAsia" w:ascii="仿宋" w:hAnsi="仿宋" w:eastAsia="仿宋" w:cs="仿宋"/>
          <w:sz w:val="32"/>
          <w:szCs w:val="32"/>
        </w:rPr>
        <w:t>2.自治区仿制药一致性评价奖补资金绩效目标表</w:t>
      </w:r>
    </w:p>
    <w:p w14:paraId="20D2A315">
      <w:pPr>
        <w:spacing w:line="600" w:lineRule="exact"/>
        <w:ind w:firstLine="640" w:firstLineChars="200"/>
        <w:jc w:val="left"/>
        <w:rPr>
          <w:rFonts w:ascii="仿宋" w:hAnsi="仿宋" w:eastAsia="仿宋"/>
          <w:bCs/>
          <w:sz w:val="32"/>
          <w:szCs w:val="32"/>
        </w:rPr>
      </w:pPr>
    </w:p>
    <w:p w14:paraId="02CC05D0">
      <w:pPr>
        <w:spacing w:line="600" w:lineRule="exact"/>
        <w:ind w:firstLine="640" w:firstLineChars="200"/>
        <w:jc w:val="left"/>
        <w:rPr>
          <w:rFonts w:ascii="仿宋" w:hAnsi="仿宋" w:eastAsia="仿宋"/>
          <w:bCs/>
          <w:sz w:val="32"/>
          <w:szCs w:val="32"/>
        </w:rPr>
      </w:pPr>
    </w:p>
    <w:p w14:paraId="76ED3A98">
      <w:pPr>
        <w:spacing w:line="600" w:lineRule="exact"/>
        <w:ind w:firstLine="640" w:firstLineChars="200"/>
        <w:jc w:val="left"/>
        <w:rPr>
          <w:rFonts w:ascii="仿宋" w:hAnsi="仿宋" w:eastAsia="仿宋"/>
          <w:bCs/>
          <w:sz w:val="32"/>
          <w:szCs w:val="32"/>
        </w:rPr>
      </w:pPr>
    </w:p>
    <w:p w14:paraId="0E69036D">
      <w:pPr>
        <w:spacing w:line="600" w:lineRule="exact"/>
        <w:ind w:firstLine="640" w:firstLineChars="200"/>
        <w:jc w:val="left"/>
        <w:rPr>
          <w:rFonts w:ascii="仿宋" w:hAnsi="仿宋" w:eastAsia="仿宋"/>
          <w:bCs/>
          <w:sz w:val="32"/>
          <w:szCs w:val="32"/>
        </w:rPr>
      </w:pPr>
    </w:p>
    <w:p w14:paraId="7F11A302">
      <w:pPr>
        <w:spacing w:line="600" w:lineRule="exact"/>
        <w:ind w:firstLine="640" w:firstLineChars="200"/>
        <w:jc w:val="left"/>
        <w:rPr>
          <w:rFonts w:ascii="仿宋" w:hAnsi="仿宋" w:eastAsia="仿宋"/>
          <w:bCs/>
          <w:sz w:val="32"/>
          <w:szCs w:val="32"/>
        </w:rPr>
      </w:pPr>
    </w:p>
    <w:p w14:paraId="6F9A46F3">
      <w:pPr>
        <w:spacing w:line="600" w:lineRule="exact"/>
        <w:ind w:firstLine="640" w:firstLineChars="200"/>
        <w:jc w:val="left"/>
        <w:rPr>
          <w:rFonts w:ascii="仿宋" w:hAnsi="仿宋" w:eastAsia="仿宋"/>
          <w:bCs/>
          <w:sz w:val="32"/>
          <w:szCs w:val="32"/>
        </w:rPr>
      </w:pPr>
    </w:p>
    <w:p w14:paraId="59A9AD3C">
      <w:pPr>
        <w:rPr>
          <w:rFonts w:hint="eastAsia" w:ascii="黑体" w:hAnsi="黑体" w:eastAsia="黑体" w:cs="黑体"/>
          <w:sz w:val="32"/>
          <w:szCs w:val="32"/>
        </w:rPr>
      </w:pPr>
      <w:r>
        <w:rPr>
          <w:rFonts w:hint="eastAsia" w:ascii="黑体" w:hAnsi="黑体" w:eastAsia="黑体" w:cs="黑体"/>
          <w:sz w:val="32"/>
          <w:szCs w:val="32"/>
        </w:rPr>
        <w:br w:type="page"/>
      </w:r>
    </w:p>
    <w:p w14:paraId="46A91C76">
      <w:pPr>
        <w:spacing w:line="600" w:lineRule="exact"/>
        <w:jc w:val="left"/>
        <w:rPr>
          <w:rFonts w:hint="eastAsia" w:ascii="黑体" w:hAnsi="黑体" w:eastAsia="黑体" w:cs="黑体"/>
          <w:bCs/>
          <w:sz w:val="32"/>
          <w:szCs w:val="32"/>
        </w:rPr>
      </w:pPr>
      <w:r>
        <w:rPr>
          <w:rFonts w:hint="eastAsia" w:ascii="黑体" w:hAnsi="黑体" w:eastAsia="黑体" w:cs="黑体"/>
          <w:sz w:val="32"/>
          <w:szCs w:val="32"/>
        </w:rPr>
        <w:t>附件1</w:t>
      </w:r>
    </w:p>
    <w:p w14:paraId="5C54B03A">
      <w:pPr>
        <w:spacing w:line="600" w:lineRule="exact"/>
        <w:ind w:firstLine="640" w:firstLineChars="200"/>
        <w:jc w:val="left"/>
        <w:rPr>
          <w:rFonts w:ascii="仿宋" w:hAnsi="仿宋" w:eastAsia="仿宋"/>
          <w:bCs/>
          <w:sz w:val="32"/>
          <w:szCs w:val="32"/>
        </w:rPr>
      </w:pPr>
    </w:p>
    <w:p w14:paraId="0072AE4C">
      <w:pPr>
        <w:spacing w:line="600" w:lineRule="exact"/>
        <w:jc w:val="both"/>
        <w:rPr>
          <w:rFonts w:hint="eastAsia" w:ascii="黑体" w:hAnsi="黑体" w:eastAsia="黑体"/>
          <w:bCs/>
          <w:sz w:val="52"/>
          <w:szCs w:val="52"/>
        </w:rPr>
      </w:pPr>
    </w:p>
    <w:p w14:paraId="1B8CD831">
      <w:pPr>
        <w:spacing w:line="600" w:lineRule="exact"/>
        <w:jc w:val="center"/>
        <w:rPr>
          <w:rFonts w:hint="eastAsia" w:ascii="黑体" w:hAnsi="黑体" w:eastAsia="黑体"/>
          <w:bCs/>
          <w:sz w:val="52"/>
          <w:szCs w:val="52"/>
        </w:rPr>
      </w:pPr>
      <w:r>
        <w:rPr>
          <w:rFonts w:hint="eastAsia" w:ascii="黑体" w:hAnsi="黑体" w:eastAsia="黑体" w:cs="黑体"/>
          <w:sz w:val="52"/>
          <w:szCs w:val="52"/>
        </w:rPr>
        <w:t>内蒙古自治区仿制药一致性评价</w:t>
      </w:r>
    </w:p>
    <w:p w14:paraId="101A6B00">
      <w:pPr>
        <w:spacing w:line="600" w:lineRule="exact"/>
        <w:jc w:val="center"/>
        <w:rPr>
          <w:rFonts w:hint="eastAsia" w:ascii="黑体" w:hAnsi="黑体" w:eastAsia="黑体"/>
          <w:bCs/>
          <w:sz w:val="52"/>
          <w:szCs w:val="52"/>
        </w:rPr>
      </w:pPr>
    </w:p>
    <w:p w14:paraId="4E559C03">
      <w:pPr>
        <w:spacing w:line="600" w:lineRule="exact"/>
        <w:jc w:val="center"/>
        <w:rPr>
          <w:rFonts w:ascii="黑体" w:hAnsi="黑体" w:eastAsia="黑体"/>
          <w:bCs/>
          <w:sz w:val="36"/>
          <w:szCs w:val="36"/>
        </w:rPr>
      </w:pPr>
      <w:r>
        <w:rPr>
          <w:rFonts w:hint="eastAsia" w:ascii="黑体" w:hAnsi="黑体" w:eastAsia="黑体" w:cs="黑体"/>
          <w:sz w:val="52"/>
          <w:szCs w:val="52"/>
        </w:rPr>
        <w:t>专项资金项目申报表</w:t>
      </w:r>
    </w:p>
    <w:p w14:paraId="726226AF">
      <w:pPr>
        <w:spacing w:line="600" w:lineRule="exact"/>
        <w:ind w:firstLine="640" w:firstLineChars="200"/>
        <w:jc w:val="left"/>
        <w:rPr>
          <w:rFonts w:ascii="仿宋" w:hAnsi="仿宋" w:eastAsia="仿宋"/>
          <w:bCs/>
          <w:sz w:val="32"/>
          <w:szCs w:val="32"/>
        </w:rPr>
      </w:pPr>
    </w:p>
    <w:p w14:paraId="0EA90D88">
      <w:pPr>
        <w:spacing w:line="600" w:lineRule="exact"/>
        <w:ind w:firstLine="640" w:firstLineChars="200"/>
        <w:jc w:val="left"/>
        <w:rPr>
          <w:rFonts w:ascii="仿宋" w:hAnsi="仿宋" w:eastAsia="仿宋"/>
          <w:bCs/>
          <w:sz w:val="32"/>
          <w:szCs w:val="32"/>
        </w:rPr>
      </w:pPr>
    </w:p>
    <w:p w14:paraId="77D04C05">
      <w:pPr>
        <w:spacing w:line="600" w:lineRule="exact"/>
        <w:ind w:firstLine="640" w:firstLineChars="200"/>
        <w:jc w:val="left"/>
        <w:rPr>
          <w:rFonts w:ascii="仿宋" w:hAnsi="仿宋" w:eastAsia="仿宋"/>
          <w:bCs/>
          <w:sz w:val="32"/>
          <w:szCs w:val="32"/>
        </w:rPr>
      </w:pPr>
    </w:p>
    <w:p w14:paraId="2913F298">
      <w:pPr>
        <w:spacing w:line="600" w:lineRule="exact"/>
        <w:ind w:firstLine="1260" w:firstLineChars="450"/>
        <w:jc w:val="left"/>
        <w:rPr>
          <w:rFonts w:ascii="黑体" w:hAnsi="黑体" w:eastAsia="黑体"/>
          <w:bCs/>
          <w:sz w:val="28"/>
          <w:szCs w:val="28"/>
          <w:u w:val="single"/>
        </w:rPr>
      </w:pPr>
      <w:r>
        <w:rPr>
          <w:rFonts w:hint="eastAsia" w:ascii="黑体" w:hAnsi="黑体" w:eastAsia="黑体" w:cs="黑体"/>
          <w:sz w:val="28"/>
          <w:szCs w:val="28"/>
        </w:rPr>
        <w:t>申报单位（盖章）：</w:t>
      </w:r>
      <w:r>
        <w:rPr>
          <w:rFonts w:hint="eastAsia" w:ascii="黑体" w:hAnsi="黑体" w:eastAsia="黑体" w:cs="黑体"/>
          <w:sz w:val="28"/>
          <w:szCs w:val="28"/>
          <w:u w:val="single"/>
        </w:rPr>
        <w:t xml:space="preserve">                           </w:t>
      </w:r>
    </w:p>
    <w:p w14:paraId="37918750">
      <w:pPr>
        <w:spacing w:line="600" w:lineRule="exact"/>
        <w:ind w:firstLine="1260" w:firstLineChars="450"/>
        <w:jc w:val="left"/>
        <w:rPr>
          <w:rFonts w:ascii="黑体" w:hAnsi="黑体" w:eastAsia="黑体"/>
          <w:bCs/>
          <w:sz w:val="28"/>
          <w:szCs w:val="28"/>
          <w:u w:val="single"/>
        </w:rPr>
      </w:pPr>
      <w:r>
        <w:rPr>
          <w:rFonts w:hint="eastAsia" w:ascii="黑体" w:hAnsi="黑体" w:eastAsia="黑体" w:cs="黑体"/>
          <w:sz w:val="28"/>
          <w:szCs w:val="28"/>
        </w:rPr>
        <w:t>法 定 代 表 人：</w:t>
      </w:r>
      <w:r>
        <w:rPr>
          <w:rFonts w:hint="eastAsia" w:ascii="黑体" w:hAnsi="黑体" w:eastAsia="黑体" w:cs="黑体"/>
          <w:sz w:val="28"/>
          <w:szCs w:val="28"/>
          <w:u w:val="single"/>
        </w:rPr>
        <w:t xml:space="preserve">                            </w:t>
      </w:r>
    </w:p>
    <w:p w14:paraId="2BA7B79C">
      <w:pPr>
        <w:spacing w:line="600" w:lineRule="exact"/>
        <w:ind w:firstLine="1260" w:firstLineChars="450"/>
        <w:jc w:val="left"/>
        <w:rPr>
          <w:rFonts w:ascii="黑体" w:hAnsi="黑体" w:eastAsia="黑体"/>
          <w:bCs/>
          <w:sz w:val="28"/>
          <w:szCs w:val="28"/>
          <w:u w:val="single"/>
        </w:rPr>
      </w:pPr>
      <w:r>
        <w:rPr>
          <w:rFonts w:hint="eastAsia" w:ascii="黑体" w:hAnsi="黑体" w:eastAsia="黑体" w:cs="黑体"/>
          <w:sz w:val="28"/>
          <w:szCs w:val="28"/>
        </w:rPr>
        <w:t>联    系    人：</w:t>
      </w:r>
      <w:r>
        <w:rPr>
          <w:rFonts w:hint="eastAsia" w:ascii="黑体" w:hAnsi="黑体" w:eastAsia="黑体" w:cs="黑体"/>
          <w:sz w:val="28"/>
          <w:szCs w:val="28"/>
          <w:u w:val="single"/>
        </w:rPr>
        <w:t xml:space="preserve">                            </w:t>
      </w:r>
    </w:p>
    <w:p w14:paraId="4CAD1CB5">
      <w:pPr>
        <w:spacing w:line="600" w:lineRule="exact"/>
        <w:ind w:firstLine="1260" w:firstLineChars="450"/>
        <w:jc w:val="left"/>
        <w:rPr>
          <w:rFonts w:ascii="黑体" w:hAnsi="黑体" w:eastAsia="黑体"/>
          <w:bCs/>
          <w:sz w:val="28"/>
          <w:szCs w:val="28"/>
          <w:u w:val="single"/>
        </w:rPr>
      </w:pPr>
      <w:r>
        <w:rPr>
          <w:rFonts w:hint="eastAsia" w:ascii="黑体" w:hAnsi="黑体" w:eastAsia="黑体" w:cs="黑体"/>
          <w:sz w:val="28"/>
          <w:szCs w:val="28"/>
        </w:rPr>
        <w:t>联  系  电  话：</w:t>
      </w:r>
      <w:r>
        <w:rPr>
          <w:rFonts w:hint="eastAsia" w:ascii="黑体" w:hAnsi="黑体" w:eastAsia="黑体" w:cs="黑体"/>
          <w:sz w:val="28"/>
          <w:szCs w:val="28"/>
          <w:u w:val="single"/>
        </w:rPr>
        <w:t xml:space="preserve">                            </w:t>
      </w:r>
    </w:p>
    <w:p w14:paraId="693F1666">
      <w:pPr>
        <w:spacing w:line="600" w:lineRule="exact"/>
        <w:ind w:firstLine="640" w:firstLineChars="200"/>
        <w:jc w:val="left"/>
        <w:rPr>
          <w:rFonts w:ascii="仿宋" w:hAnsi="仿宋" w:eastAsia="仿宋"/>
          <w:bCs/>
          <w:sz w:val="32"/>
          <w:szCs w:val="32"/>
        </w:rPr>
      </w:pPr>
    </w:p>
    <w:p w14:paraId="707AF887">
      <w:pPr>
        <w:spacing w:line="600" w:lineRule="exact"/>
        <w:ind w:firstLine="640" w:firstLineChars="200"/>
        <w:jc w:val="left"/>
        <w:rPr>
          <w:rFonts w:ascii="仿宋" w:hAnsi="仿宋" w:eastAsia="仿宋"/>
          <w:bCs/>
          <w:sz w:val="32"/>
          <w:szCs w:val="32"/>
        </w:rPr>
      </w:pPr>
    </w:p>
    <w:p w14:paraId="67D7FC9D">
      <w:pPr>
        <w:spacing w:line="600" w:lineRule="exact"/>
        <w:ind w:firstLine="640" w:firstLineChars="200"/>
        <w:jc w:val="left"/>
        <w:rPr>
          <w:rFonts w:ascii="仿宋" w:hAnsi="仿宋" w:eastAsia="仿宋"/>
          <w:bCs/>
          <w:sz w:val="32"/>
          <w:szCs w:val="32"/>
        </w:rPr>
      </w:pPr>
    </w:p>
    <w:p w14:paraId="659A9AC0">
      <w:pPr>
        <w:spacing w:line="600" w:lineRule="exact"/>
        <w:ind w:firstLine="640" w:firstLineChars="200"/>
        <w:jc w:val="left"/>
        <w:rPr>
          <w:rFonts w:ascii="仿宋" w:hAnsi="仿宋" w:eastAsia="仿宋"/>
          <w:bCs/>
          <w:sz w:val="32"/>
          <w:szCs w:val="32"/>
        </w:rPr>
      </w:pPr>
    </w:p>
    <w:p w14:paraId="67B7A854">
      <w:pPr>
        <w:spacing w:line="600" w:lineRule="exact"/>
        <w:ind w:firstLine="980" w:firstLineChars="350"/>
        <w:jc w:val="left"/>
        <w:rPr>
          <w:rFonts w:ascii="黑体" w:hAnsi="黑体" w:eastAsia="黑体"/>
          <w:bCs/>
          <w:sz w:val="28"/>
          <w:szCs w:val="28"/>
        </w:rPr>
      </w:pPr>
    </w:p>
    <w:p w14:paraId="0BAB79A8">
      <w:pPr>
        <w:spacing w:line="600" w:lineRule="exact"/>
        <w:ind w:firstLine="1680" w:firstLineChars="600"/>
        <w:jc w:val="left"/>
        <w:rPr>
          <w:rFonts w:ascii="黑体" w:hAnsi="黑体" w:eastAsia="黑体"/>
          <w:bCs/>
          <w:sz w:val="28"/>
          <w:szCs w:val="28"/>
        </w:rPr>
      </w:pPr>
    </w:p>
    <w:p w14:paraId="5EF7FB80">
      <w:pPr>
        <w:spacing w:line="600" w:lineRule="exact"/>
        <w:ind w:firstLine="1680" w:firstLineChars="600"/>
        <w:jc w:val="left"/>
        <w:rPr>
          <w:rFonts w:ascii="黑体" w:hAnsi="黑体" w:eastAsia="黑体"/>
          <w:bCs/>
          <w:sz w:val="28"/>
          <w:szCs w:val="28"/>
        </w:rPr>
      </w:pPr>
      <w:r>
        <w:rPr>
          <w:rFonts w:hint="eastAsia" w:ascii="黑体" w:hAnsi="黑体" w:eastAsia="黑体" w:cs="黑体"/>
          <w:sz w:val="28"/>
          <w:szCs w:val="28"/>
        </w:rPr>
        <w:t>申请日期         年        月        日</w:t>
      </w:r>
    </w:p>
    <w:p w14:paraId="41E4BD29">
      <w:pPr>
        <w:spacing w:line="600" w:lineRule="exact"/>
        <w:ind w:firstLine="640" w:firstLineChars="200"/>
        <w:jc w:val="left"/>
        <w:rPr>
          <w:rFonts w:ascii="仿宋" w:hAnsi="仿宋" w:eastAsia="仿宋"/>
          <w:bCs/>
          <w:sz w:val="32"/>
          <w:szCs w:val="32"/>
        </w:rPr>
      </w:pPr>
    </w:p>
    <w:p w14:paraId="6E79D583">
      <w:pPr>
        <w:spacing w:line="600" w:lineRule="exact"/>
        <w:ind w:firstLine="640" w:firstLineChars="200"/>
        <w:jc w:val="left"/>
        <w:rPr>
          <w:rFonts w:ascii="仿宋" w:hAnsi="仿宋" w:eastAsia="仿宋"/>
          <w:bCs/>
          <w:sz w:val="32"/>
          <w:szCs w:val="32"/>
        </w:rPr>
      </w:pPr>
    </w:p>
    <w:p w14:paraId="0D6C2458">
      <w:pPr>
        <w:spacing w:line="600" w:lineRule="exact"/>
        <w:jc w:val="left"/>
        <w:rPr>
          <w:rFonts w:ascii="仿宋" w:hAnsi="仿宋" w:eastAsia="仿宋"/>
          <w:bCs/>
          <w:sz w:val="32"/>
          <w:szCs w:val="32"/>
        </w:rPr>
      </w:pPr>
    </w:p>
    <w:p w14:paraId="0CFE0F4D">
      <w:pPr>
        <w:spacing w:line="6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sz w:val="44"/>
          <w:szCs w:val="44"/>
        </w:rPr>
        <w:t>承  诺  书</w:t>
      </w:r>
    </w:p>
    <w:p w14:paraId="49170FEC">
      <w:pPr>
        <w:spacing w:line="600" w:lineRule="exact"/>
        <w:ind w:firstLine="640" w:firstLineChars="200"/>
        <w:jc w:val="left"/>
        <w:rPr>
          <w:rFonts w:ascii="仿宋" w:hAnsi="仿宋" w:eastAsia="仿宋"/>
          <w:bCs/>
          <w:sz w:val="32"/>
          <w:szCs w:val="32"/>
        </w:rPr>
      </w:pPr>
    </w:p>
    <w:p w14:paraId="3A34F1EE">
      <w:pPr>
        <w:spacing w:line="600" w:lineRule="exact"/>
        <w:ind w:firstLine="640" w:firstLineChars="200"/>
        <w:jc w:val="left"/>
        <w:rPr>
          <w:rFonts w:ascii="仿宋" w:hAnsi="仿宋" w:eastAsia="仿宋"/>
          <w:bCs/>
          <w:sz w:val="32"/>
          <w:szCs w:val="32"/>
        </w:rPr>
      </w:pPr>
      <w:r>
        <w:rPr>
          <w:rFonts w:hint="eastAsia" w:ascii="仿宋" w:hAnsi="仿宋" w:eastAsia="仿宋" w:cs="仿宋"/>
          <w:sz w:val="32"/>
          <w:szCs w:val="32"/>
        </w:rPr>
        <w:t>本企业承诺：</w:t>
      </w:r>
    </w:p>
    <w:p w14:paraId="336FEF3A">
      <w:pPr>
        <w:spacing w:line="600" w:lineRule="exact"/>
        <w:ind w:firstLine="640" w:firstLineChars="200"/>
        <w:jc w:val="left"/>
        <w:rPr>
          <w:rFonts w:ascii="仿宋" w:hAnsi="仿宋" w:eastAsia="仿宋"/>
          <w:bCs/>
          <w:sz w:val="32"/>
          <w:szCs w:val="32"/>
        </w:rPr>
      </w:pPr>
      <w:r>
        <w:rPr>
          <w:rFonts w:hint="eastAsia" w:ascii="仿宋" w:hAnsi="仿宋" w:eastAsia="仿宋" w:cs="仿宋"/>
          <w:sz w:val="32"/>
          <w:szCs w:val="32"/>
        </w:rPr>
        <w:t>1.本申报书中所填写的内容真实、合法、有效。</w:t>
      </w:r>
    </w:p>
    <w:p w14:paraId="70437DF2">
      <w:pPr>
        <w:spacing w:line="600" w:lineRule="exact"/>
        <w:ind w:firstLine="640" w:firstLineChars="200"/>
        <w:jc w:val="left"/>
        <w:rPr>
          <w:rFonts w:ascii="仿宋" w:hAnsi="仿宋" w:eastAsia="仿宋"/>
          <w:bCs/>
          <w:sz w:val="32"/>
          <w:szCs w:val="32"/>
        </w:rPr>
      </w:pPr>
      <w:r>
        <w:rPr>
          <w:rFonts w:hint="eastAsia" w:ascii="仿宋" w:hAnsi="仿宋" w:eastAsia="仿宋" w:cs="仿宋"/>
          <w:sz w:val="32"/>
          <w:szCs w:val="32"/>
        </w:rPr>
        <w:t>2.提供的申报资料和文件内容真实、可靠、事实存在。</w:t>
      </w:r>
    </w:p>
    <w:p w14:paraId="48BEF452">
      <w:pPr>
        <w:spacing w:line="600" w:lineRule="exact"/>
        <w:ind w:firstLine="640" w:firstLineChars="200"/>
        <w:jc w:val="left"/>
        <w:rPr>
          <w:rFonts w:ascii="仿宋" w:hAnsi="仿宋" w:eastAsia="仿宋"/>
          <w:bCs/>
          <w:sz w:val="32"/>
          <w:szCs w:val="32"/>
        </w:rPr>
      </w:pPr>
      <w:r>
        <w:rPr>
          <w:rFonts w:hint="eastAsia" w:ascii="仿宋" w:hAnsi="仿宋" w:eastAsia="仿宋" w:cs="仿宋"/>
          <w:sz w:val="32"/>
          <w:szCs w:val="32"/>
        </w:rPr>
        <w:t>3.本申报书中所涉及单位的知识产权、商业秘密明晰完整，归属本单位或技术来源正当合法，未剽窃他人成果，未侵犯他人的知识产权或商业秘密。</w:t>
      </w:r>
    </w:p>
    <w:p w14:paraId="68D7CEB4">
      <w:pPr>
        <w:spacing w:line="600" w:lineRule="exact"/>
        <w:ind w:firstLine="640" w:firstLineChars="200"/>
        <w:jc w:val="left"/>
        <w:rPr>
          <w:rFonts w:hint="eastAsia" w:ascii="仿宋" w:hAnsi="仿宋" w:eastAsia="仿宋"/>
          <w:bCs/>
          <w:sz w:val="32"/>
          <w:szCs w:val="32"/>
        </w:rPr>
      </w:pPr>
      <w:r>
        <w:rPr>
          <w:rFonts w:hint="eastAsia" w:ascii="仿宋" w:hAnsi="仿宋" w:eastAsia="仿宋" w:cs="仿宋"/>
          <w:sz w:val="32"/>
          <w:szCs w:val="32"/>
        </w:rPr>
        <w:t>4.无违法、违纪、违规行为，近三年内未发生过重大环境污染事件或安全生产事故。</w:t>
      </w:r>
    </w:p>
    <w:p w14:paraId="55C18EAF">
      <w:pPr>
        <w:spacing w:line="600" w:lineRule="exact"/>
        <w:ind w:firstLine="640" w:firstLineChars="200"/>
        <w:jc w:val="left"/>
        <w:rPr>
          <w:rFonts w:hint="default" w:ascii="仿宋" w:hAnsi="仿宋" w:eastAsia="仿宋"/>
          <w:bCs/>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宋体"/>
          <w:sz w:val="32"/>
          <w:szCs w:val="32"/>
          <w:lang w:val="en-US" w:eastAsia="zh-CN" w:bidi="ar-SA"/>
        </w:rPr>
        <w:t>本企业无失信行为，或失信记录已经修复</w:t>
      </w:r>
      <w:r>
        <w:rPr>
          <w:rFonts w:hint="default" w:ascii="仿宋" w:hAnsi="仿宋" w:eastAsia="仿宋" w:cs="仿宋"/>
          <w:color w:val="000000"/>
          <w:sz w:val="32"/>
          <w:szCs w:val="24"/>
          <w:lang w:val="en-US" w:eastAsia="zh-CN"/>
        </w:rPr>
        <w:t>。</w:t>
      </w:r>
    </w:p>
    <w:p w14:paraId="36BD97D5">
      <w:pPr>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6.本项目为后补助项目，奖补资金将按照申报时确定的用途统筹使用，专项管理、专账核算，不违规超范围使用。</w:t>
      </w:r>
    </w:p>
    <w:p w14:paraId="6590001D">
      <w:pPr>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7.如有虚假填报、弄虚作假骗取奖补资金的，本企业自愿退回全部奖补资金，接受信用惩戒和相应处理。</w:t>
      </w:r>
    </w:p>
    <w:p w14:paraId="4614D01B">
      <w:pPr>
        <w:spacing w:line="600" w:lineRule="exact"/>
        <w:ind w:firstLine="640" w:firstLineChars="200"/>
        <w:jc w:val="left"/>
        <w:rPr>
          <w:rFonts w:ascii="仿宋" w:hAnsi="仿宋" w:eastAsia="仿宋"/>
          <w:bCs/>
          <w:sz w:val="32"/>
          <w:szCs w:val="32"/>
        </w:rPr>
      </w:pPr>
    </w:p>
    <w:p w14:paraId="2C7386C2">
      <w:pPr>
        <w:spacing w:line="600" w:lineRule="exact"/>
        <w:ind w:firstLine="640" w:firstLineChars="200"/>
        <w:jc w:val="left"/>
        <w:rPr>
          <w:rFonts w:ascii="仿宋" w:hAnsi="仿宋" w:eastAsia="仿宋"/>
          <w:bCs/>
          <w:sz w:val="32"/>
          <w:szCs w:val="32"/>
        </w:rPr>
      </w:pPr>
      <w:r>
        <w:rPr>
          <w:rFonts w:hint="eastAsia" w:ascii="仿宋" w:hAnsi="仿宋" w:eastAsia="仿宋" w:cs="仿宋"/>
          <w:sz w:val="32"/>
          <w:szCs w:val="32"/>
        </w:rPr>
        <w:t>若发生与上述承诺相违背的事实，由本单位承担法律责任。</w:t>
      </w:r>
    </w:p>
    <w:p w14:paraId="44A042F1">
      <w:pPr>
        <w:spacing w:line="600" w:lineRule="exact"/>
        <w:ind w:firstLine="640" w:firstLineChars="200"/>
        <w:jc w:val="left"/>
        <w:rPr>
          <w:rFonts w:ascii="仿宋" w:hAnsi="仿宋" w:eastAsia="仿宋"/>
          <w:bCs/>
          <w:sz w:val="32"/>
          <w:szCs w:val="32"/>
        </w:rPr>
      </w:pPr>
    </w:p>
    <w:p w14:paraId="4CAA8689">
      <w:pPr>
        <w:spacing w:line="600" w:lineRule="exact"/>
        <w:ind w:firstLine="2560" w:firstLineChars="800"/>
        <w:jc w:val="left"/>
        <w:rPr>
          <w:rFonts w:ascii="仿宋" w:hAnsi="仿宋" w:eastAsia="仿宋"/>
          <w:bCs/>
          <w:sz w:val="32"/>
          <w:szCs w:val="32"/>
        </w:rPr>
      </w:pPr>
      <w:r>
        <w:rPr>
          <w:rFonts w:hint="eastAsia" w:ascii="仿宋" w:hAnsi="仿宋" w:eastAsia="仿宋" w:cs="仿宋"/>
          <w:sz w:val="32"/>
          <w:szCs w:val="32"/>
        </w:rPr>
        <w:t>法定代表人（签字）：</w:t>
      </w:r>
    </w:p>
    <w:p w14:paraId="0CE5BB35">
      <w:pPr>
        <w:spacing w:line="600" w:lineRule="exact"/>
        <w:ind w:firstLine="2560" w:firstLineChars="800"/>
        <w:jc w:val="left"/>
        <w:rPr>
          <w:rFonts w:hint="eastAsia" w:ascii="仿宋" w:hAnsi="仿宋" w:eastAsia="仿宋"/>
          <w:bCs/>
          <w:sz w:val="32"/>
          <w:szCs w:val="32"/>
        </w:rPr>
      </w:pPr>
      <w:r>
        <w:rPr>
          <w:rFonts w:hint="eastAsia" w:ascii="仿宋" w:hAnsi="仿宋" w:eastAsia="仿宋" w:cs="仿宋"/>
          <w:sz w:val="32"/>
          <w:szCs w:val="32"/>
        </w:rPr>
        <w:t>单位（盖章）：</w:t>
      </w:r>
    </w:p>
    <w:p w14:paraId="5BB0DB3C">
      <w:pPr>
        <w:spacing w:line="600" w:lineRule="exact"/>
        <w:ind w:firstLine="2560" w:firstLineChars="800"/>
        <w:jc w:val="left"/>
        <w:rPr>
          <w:rFonts w:hint="eastAsia" w:ascii="仿宋" w:hAnsi="仿宋" w:eastAsia="仿宋"/>
          <w:bCs/>
          <w:sz w:val="32"/>
          <w:szCs w:val="32"/>
        </w:rPr>
      </w:pPr>
    </w:p>
    <w:p w14:paraId="12C3F72E">
      <w:pPr>
        <w:spacing w:line="600" w:lineRule="exact"/>
        <w:ind w:firstLine="4320" w:firstLineChars="1350"/>
        <w:jc w:val="left"/>
        <w:rPr>
          <w:rFonts w:hint="eastAsia" w:ascii="仿宋" w:hAnsi="仿宋" w:eastAsia="仿宋"/>
          <w:bCs/>
          <w:sz w:val="32"/>
          <w:szCs w:val="32"/>
        </w:rPr>
      </w:pPr>
      <w:r>
        <w:rPr>
          <w:rFonts w:hint="eastAsia" w:ascii="仿宋" w:hAnsi="仿宋" w:eastAsia="仿宋" w:cs="仿宋"/>
          <w:sz w:val="32"/>
          <w:szCs w:val="32"/>
        </w:rPr>
        <w:t>年    月     日</w:t>
      </w:r>
    </w:p>
    <w:p w14:paraId="2F2FEDA7">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仿制药质量和疗效一致性评价项目项目资金申请表</w:t>
      </w:r>
    </w:p>
    <w:p w14:paraId="204221A6">
      <w:pPr>
        <w:rPr>
          <w:b w:val="0"/>
          <w:bCs w:val="0"/>
        </w:rPr>
      </w:pPr>
    </w:p>
    <w:tbl>
      <w:tblPr>
        <w:tblStyle w:val="7"/>
        <w:tblpPr w:leftFromText="180" w:rightFromText="180" w:vertAnchor="text" w:horzAnchor="page" w:tblpX="1909" w:tblpY="298"/>
        <w:tblOverlap w:val="never"/>
        <w:tblW w:w="8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6"/>
        <w:gridCol w:w="2223"/>
        <w:gridCol w:w="492"/>
        <w:gridCol w:w="926"/>
        <w:gridCol w:w="850"/>
        <w:gridCol w:w="2232"/>
      </w:tblGrid>
      <w:tr w14:paraId="0509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8469" w:type="dxa"/>
            <w:gridSpan w:val="6"/>
            <w:tcBorders>
              <w:top w:val="single" w:color="auto" w:sz="4" w:space="0"/>
              <w:left w:val="single" w:color="auto" w:sz="4" w:space="0"/>
              <w:bottom w:val="single" w:color="auto" w:sz="4" w:space="0"/>
              <w:right w:val="single" w:color="auto" w:sz="4" w:space="0"/>
            </w:tcBorders>
            <w:vAlign w:val="center"/>
          </w:tcPr>
          <w:p w14:paraId="5A423C59">
            <w:pPr>
              <w:rPr>
                <w:b w:val="0"/>
                <w:bCs w:val="0"/>
              </w:rPr>
            </w:pPr>
            <w:r>
              <w:rPr>
                <w:rFonts w:ascii="仿宋" w:hAnsi="仿宋" w:eastAsia="仿宋" w:cs="仿宋"/>
                <w:b w:val="0"/>
                <w:bCs w:val="0"/>
                <w:sz w:val="24"/>
                <w:szCs w:val="22"/>
                <w:lang w:val="en-US" w:eastAsia="zh-CN" w:bidi="ar-SA"/>
              </w:rPr>
              <w:t>一、企业基本信息</w:t>
            </w:r>
          </w:p>
        </w:tc>
      </w:tr>
      <w:tr w14:paraId="7F84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8469" w:type="dxa"/>
            <w:gridSpan w:val="6"/>
            <w:tcBorders>
              <w:top w:val="single" w:color="auto" w:sz="4" w:space="0"/>
              <w:left w:val="single" w:color="auto" w:sz="4" w:space="0"/>
              <w:bottom w:val="single" w:color="auto" w:sz="4" w:space="0"/>
              <w:right w:val="single" w:color="auto" w:sz="4" w:space="0"/>
            </w:tcBorders>
            <w:vAlign w:val="center"/>
          </w:tcPr>
          <w:p w14:paraId="4F4FE4B4">
            <w:r>
              <w:rPr>
                <w:rFonts w:ascii="仿宋" w:hAnsi="仿宋" w:eastAsia="仿宋" w:cs="仿宋"/>
                <w:sz w:val="24"/>
                <w:szCs w:val="22"/>
                <w:lang w:val="en-US" w:eastAsia="zh-CN" w:bidi="ar-SA"/>
              </w:rPr>
              <w:t>（一）企业基本情况</w:t>
            </w:r>
          </w:p>
        </w:tc>
      </w:tr>
      <w:tr w14:paraId="28B7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46" w:type="dxa"/>
            <w:tcBorders>
              <w:top w:val="single" w:color="auto" w:sz="4" w:space="0"/>
              <w:left w:val="single" w:color="auto" w:sz="4" w:space="0"/>
              <w:bottom w:val="single" w:color="auto" w:sz="4" w:space="0"/>
              <w:right w:val="single" w:color="auto" w:sz="4" w:space="0"/>
            </w:tcBorders>
            <w:vAlign w:val="center"/>
          </w:tcPr>
          <w:p w14:paraId="15830953">
            <w:pPr>
              <w:jc w:val="center"/>
            </w:pPr>
            <w:r>
              <w:rPr>
                <w:rFonts w:ascii="仿宋" w:hAnsi="仿宋" w:eastAsia="仿宋" w:cs="仿宋"/>
                <w:sz w:val="24"/>
                <w:szCs w:val="22"/>
                <w:lang w:val="en-US" w:eastAsia="zh-CN" w:bidi="ar-SA"/>
              </w:rPr>
              <w:t>企业名称</w:t>
            </w:r>
          </w:p>
        </w:tc>
        <w:tc>
          <w:tcPr>
            <w:tcW w:w="2715" w:type="dxa"/>
            <w:gridSpan w:val="2"/>
            <w:tcBorders>
              <w:top w:val="single" w:color="auto" w:sz="4" w:space="0"/>
              <w:left w:val="single" w:color="auto" w:sz="4" w:space="0"/>
              <w:bottom w:val="single" w:color="auto" w:sz="4" w:space="0"/>
              <w:right w:val="single" w:color="auto" w:sz="4" w:space="0"/>
            </w:tcBorders>
            <w:vAlign w:val="center"/>
          </w:tcPr>
          <w:p w14:paraId="2A7CF349">
            <w:pPr>
              <w:jc w:val="cente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44272273">
            <w:pPr>
              <w:jc w:val="center"/>
            </w:pPr>
            <w:r>
              <w:rPr>
                <w:rFonts w:ascii="仿宋" w:hAnsi="仿宋" w:eastAsia="仿宋" w:cs="仿宋"/>
                <w:sz w:val="24"/>
                <w:szCs w:val="22"/>
                <w:lang w:val="en-US" w:eastAsia="zh-CN" w:bidi="ar-SA"/>
              </w:rPr>
              <w:t>法定代表人</w:t>
            </w:r>
          </w:p>
        </w:tc>
        <w:tc>
          <w:tcPr>
            <w:tcW w:w="2232" w:type="dxa"/>
            <w:tcBorders>
              <w:top w:val="single" w:color="auto" w:sz="4" w:space="0"/>
              <w:left w:val="single" w:color="auto" w:sz="4" w:space="0"/>
              <w:bottom w:val="single" w:color="auto" w:sz="4" w:space="0"/>
              <w:right w:val="single" w:color="auto" w:sz="4" w:space="0"/>
            </w:tcBorders>
            <w:vAlign w:val="center"/>
          </w:tcPr>
          <w:p w14:paraId="2CAADE78">
            <w:pPr>
              <w:jc w:val="center"/>
            </w:pPr>
          </w:p>
        </w:tc>
      </w:tr>
      <w:tr w14:paraId="6E92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46" w:type="dxa"/>
            <w:tcBorders>
              <w:top w:val="single" w:color="auto" w:sz="4" w:space="0"/>
              <w:left w:val="single" w:color="auto" w:sz="4" w:space="0"/>
              <w:bottom w:val="single" w:color="auto" w:sz="4" w:space="0"/>
              <w:right w:val="single" w:color="auto" w:sz="4" w:space="0"/>
            </w:tcBorders>
            <w:vAlign w:val="center"/>
          </w:tcPr>
          <w:p w14:paraId="0E9F1A4D">
            <w:pPr>
              <w:jc w:val="center"/>
            </w:pPr>
            <w:r>
              <w:rPr>
                <w:rFonts w:ascii="仿宋" w:hAnsi="仿宋" w:eastAsia="仿宋" w:cs="仿宋"/>
                <w:sz w:val="24"/>
                <w:szCs w:val="22"/>
                <w:lang w:val="en-US" w:eastAsia="zh-CN" w:bidi="ar-SA"/>
              </w:rPr>
              <w:t>注册地址</w:t>
            </w:r>
          </w:p>
        </w:tc>
        <w:tc>
          <w:tcPr>
            <w:tcW w:w="6723" w:type="dxa"/>
            <w:gridSpan w:val="5"/>
            <w:tcBorders>
              <w:top w:val="single" w:color="auto" w:sz="4" w:space="0"/>
              <w:left w:val="single" w:color="auto" w:sz="4" w:space="0"/>
              <w:bottom w:val="single" w:color="auto" w:sz="4" w:space="0"/>
              <w:right w:val="single" w:color="auto" w:sz="4" w:space="0"/>
            </w:tcBorders>
            <w:vAlign w:val="center"/>
          </w:tcPr>
          <w:p w14:paraId="1BAB991B">
            <w:pPr>
              <w:jc w:val="center"/>
            </w:pPr>
          </w:p>
        </w:tc>
      </w:tr>
      <w:tr w14:paraId="0299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46" w:type="dxa"/>
            <w:tcBorders>
              <w:top w:val="single" w:color="auto" w:sz="4" w:space="0"/>
              <w:left w:val="single" w:color="auto" w:sz="4" w:space="0"/>
              <w:bottom w:val="single" w:color="auto" w:sz="4" w:space="0"/>
              <w:right w:val="single" w:color="auto" w:sz="4" w:space="0"/>
            </w:tcBorders>
            <w:vAlign w:val="center"/>
          </w:tcPr>
          <w:p w14:paraId="1D8EABF2">
            <w:pPr>
              <w:jc w:val="center"/>
            </w:pPr>
            <w:r>
              <w:rPr>
                <w:rFonts w:ascii="仿宋" w:hAnsi="仿宋" w:eastAsia="仿宋" w:cs="仿宋"/>
                <w:sz w:val="24"/>
                <w:szCs w:val="22"/>
                <w:lang w:val="en-US" w:eastAsia="zh-CN" w:bidi="ar-SA"/>
              </w:rPr>
              <w:t>单位主管部门</w:t>
            </w:r>
          </w:p>
        </w:tc>
        <w:tc>
          <w:tcPr>
            <w:tcW w:w="6723" w:type="dxa"/>
            <w:gridSpan w:val="5"/>
            <w:tcBorders>
              <w:top w:val="single" w:color="auto" w:sz="4" w:space="0"/>
              <w:left w:val="single" w:color="auto" w:sz="4" w:space="0"/>
              <w:bottom w:val="single" w:color="auto" w:sz="4" w:space="0"/>
              <w:right w:val="single" w:color="auto" w:sz="4" w:space="0"/>
            </w:tcBorders>
            <w:vAlign w:val="center"/>
          </w:tcPr>
          <w:p w14:paraId="7FDC460F">
            <w:pPr>
              <w:jc w:val="center"/>
            </w:pPr>
          </w:p>
        </w:tc>
      </w:tr>
      <w:tr w14:paraId="1A00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1746" w:type="dxa"/>
            <w:tcBorders>
              <w:top w:val="single" w:color="auto" w:sz="4" w:space="0"/>
              <w:left w:val="single" w:color="auto" w:sz="4" w:space="0"/>
              <w:bottom w:val="single" w:color="auto" w:sz="4" w:space="0"/>
              <w:right w:val="single" w:color="auto" w:sz="4" w:space="0"/>
            </w:tcBorders>
            <w:vAlign w:val="center"/>
          </w:tcPr>
          <w:p w14:paraId="0A452367">
            <w:pPr>
              <w:jc w:val="center"/>
            </w:pPr>
            <w:r>
              <w:rPr>
                <w:rFonts w:ascii="仿宋" w:hAnsi="仿宋" w:eastAsia="仿宋" w:cs="仿宋"/>
                <w:sz w:val="24"/>
                <w:szCs w:val="22"/>
                <w:lang w:val="en-US" w:eastAsia="zh-CN" w:bidi="ar-SA"/>
              </w:rPr>
              <w:t>联系电话</w:t>
            </w:r>
          </w:p>
        </w:tc>
        <w:tc>
          <w:tcPr>
            <w:tcW w:w="2715" w:type="dxa"/>
            <w:gridSpan w:val="2"/>
            <w:tcBorders>
              <w:top w:val="single" w:color="auto" w:sz="4" w:space="0"/>
              <w:left w:val="single" w:color="auto" w:sz="4" w:space="0"/>
              <w:bottom w:val="single" w:color="auto" w:sz="4" w:space="0"/>
              <w:right w:val="single" w:color="auto" w:sz="4" w:space="0"/>
            </w:tcBorders>
            <w:vAlign w:val="center"/>
          </w:tcPr>
          <w:p w14:paraId="37FE0BA5">
            <w:pPr>
              <w:jc w:val="cente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6BE50224">
            <w:pPr>
              <w:jc w:val="center"/>
            </w:pPr>
            <w:r>
              <w:rPr>
                <w:rFonts w:ascii="仿宋" w:hAnsi="仿宋" w:eastAsia="仿宋" w:cs="仿宋"/>
                <w:sz w:val="24"/>
                <w:szCs w:val="22"/>
                <w:lang w:val="en-US" w:eastAsia="zh-CN" w:bidi="ar-SA"/>
              </w:rPr>
              <w:t>统一社会</w:t>
            </w:r>
          </w:p>
          <w:p w14:paraId="77BF428A">
            <w:pPr>
              <w:jc w:val="center"/>
            </w:pPr>
            <w:r>
              <w:rPr>
                <w:rFonts w:ascii="仿宋" w:hAnsi="仿宋" w:eastAsia="仿宋" w:cs="仿宋"/>
                <w:sz w:val="24"/>
                <w:szCs w:val="22"/>
                <w:lang w:val="en-US" w:eastAsia="zh-CN" w:bidi="ar-SA"/>
              </w:rPr>
              <w:t>信用代码</w:t>
            </w:r>
          </w:p>
        </w:tc>
        <w:tc>
          <w:tcPr>
            <w:tcW w:w="2232" w:type="dxa"/>
            <w:tcBorders>
              <w:top w:val="single" w:color="auto" w:sz="4" w:space="0"/>
              <w:left w:val="single" w:color="auto" w:sz="4" w:space="0"/>
              <w:bottom w:val="single" w:color="auto" w:sz="4" w:space="0"/>
              <w:right w:val="single" w:color="auto" w:sz="4" w:space="0"/>
            </w:tcBorders>
            <w:vAlign w:val="center"/>
          </w:tcPr>
          <w:p w14:paraId="6B38CDF4">
            <w:pPr>
              <w:jc w:val="center"/>
            </w:pPr>
          </w:p>
        </w:tc>
      </w:tr>
      <w:tr w14:paraId="650A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46" w:type="dxa"/>
            <w:tcBorders>
              <w:top w:val="single" w:color="auto" w:sz="4" w:space="0"/>
              <w:left w:val="single" w:color="auto" w:sz="4" w:space="0"/>
              <w:bottom w:val="single" w:color="auto" w:sz="4" w:space="0"/>
              <w:right w:val="single" w:color="auto" w:sz="4" w:space="0"/>
            </w:tcBorders>
            <w:vAlign w:val="center"/>
          </w:tcPr>
          <w:p w14:paraId="212F1165">
            <w:pPr>
              <w:jc w:val="center"/>
            </w:pPr>
            <w:r>
              <w:rPr>
                <w:rFonts w:ascii="仿宋" w:hAnsi="仿宋" w:eastAsia="仿宋" w:cs="仿宋"/>
                <w:sz w:val="24"/>
                <w:szCs w:val="22"/>
                <w:lang w:val="en-US" w:eastAsia="zh-CN" w:bidi="ar-SA"/>
              </w:rPr>
              <w:t>通讯地址</w:t>
            </w:r>
          </w:p>
        </w:tc>
        <w:tc>
          <w:tcPr>
            <w:tcW w:w="6723" w:type="dxa"/>
            <w:gridSpan w:val="5"/>
            <w:tcBorders>
              <w:top w:val="single" w:color="auto" w:sz="4" w:space="0"/>
              <w:left w:val="single" w:color="auto" w:sz="4" w:space="0"/>
              <w:bottom w:val="single" w:color="auto" w:sz="4" w:space="0"/>
              <w:right w:val="single" w:color="auto" w:sz="4" w:space="0"/>
            </w:tcBorders>
            <w:vAlign w:val="center"/>
          </w:tcPr>
          <w:p w14:paraId="56DAF33F">
            <w:pPr>
              <w:jc w:val="center"/>
            </w:pPr>
          </w:p>
        </w:tc>
      </w:tr>
      <w:tr w14:paraId="2DF5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46" w:type="dxa"/>
            <w:tcBorders>
              <w:top w:val="single" w:color="auto" w:sz="4" w:space="0"/>
              <w:left w:val="single" w:color="auto" w:sz="4" w:space="0"/>
              <w:bottom w:val="single" w:color="auto" w:sz="4" w:space="0"/>
              <w:right w:val="single" w:color="auto" w:sz="4" w:space="0"/>
            </w:tcBorders>
            <w:vAlign w:val="center"/>
          </w:tcPr>
          <w:p w14:paraId="5C789B4D">
            <w:pPr>
              <w:jc w:val="center"/>
            </w:pPr>
            <w:r>
              <w:rPr>
                <w:rFonts w:ascii="仿宋" w:hAnsi="仿宋" w:eastAsia="仿宋" w:cs="仿宋"/>
                <w:sz w:val="24"/>
                <w:szCs w:val="22"/>
                <w:lang w:val="en-US" w:eastAsia="zh-CN" w:bidi="ar-SA"/>
              </w:rPr>
              <w:t>联系人</w:t>
            </w:r>
          </w:p>
        </w:tc>
        <w:tc>
          <w:tcPr>
            <w:tcW w:w="2223" w:type="dxa"/>
            <w:tcBorders>
              <w:top w:val="single" w:color="auto" w:sz="4" w:space="0"/>
              <w:left w:val="single" w:color="auto" w:sz="4" w:space="0"/>
              <w:bottom w:val="single" w:color="auto" w:sz="4" w:space="0"/>
              <w:right w:val="single" w:color="auto" w:sz="4" w:space="0"/>
            </w:tcBorders>
            <w:vAlign w:val="center"/>
          </w:tcPr>
          <w:p w14:paraId="5619F4E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Cs/>
                <w:sz w:val="24"/>
                <w:szCs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19D113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Cs/>
                <w:sz w:val="24"/>
                <w:szCs w:val="24"/>
              </w:rPr>
            </w:pPr>
            <w:r>
              <w:rPr>
                <w:rFonts w:hint="eastAsia" w:ascii="仿宋" w:hAnsi="仿宋" w:eastAsia="仿宋" w:cs="仿宋"/>
                <w:sz w:val="24"/>
                <w:szCs w:val="24"/>
              </w:rPr>
              <w:t>职务</w:t>
            </w:r>
          </w:p>
        </w:tc>
        <w:tc>
          <w:tcPr>
            <w:tcW w:w="3082" w:type="dxa"/>
            <w:gridSpan w:val="2"/>
            <w:tcBorders>
              <w:top w:val="single" w:color="auto" w:sz="4" w:space="0"/>
              <w:left w:val="single" w:color="auto" w:sz="4" w:space="0"/>
              <w:bottom w:val="single" w:color="auto" w:sz="4" w:space="0"/>
              <w:right w:val="single" w:color="auto" w:sz="4" w:space="0"/>
            </w:tcBorders>
            <w:vAlign w:val="center"/>
          </w:tcPr>
          <w:p w14:paraId="0D1EB89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Cs/>
                <w:sz w:val="24"/>
                <w:szCs w:val="24"/>
              </w:rPr>
            </w:pPr>
          </w:p>
        </w:tc>
      </w:tr>
      <w:tr w14:paraId="669D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46" w:type="dxa"/>
            <w:tcBorders>
              <w:top w:val="single" w:color="auto" w:sz="4" w:space="0"/>
              <w:left w:val="single" w:color="auto" w:sz="4" w:space="0"/>
              <w:bottom w:val="single" w:color="auto" w:sz="4" w:space="0"/>
              <w:right w:val="single" w:color="auto" w:sz="4" w:space="0"/>
            </w:tcBorders>
            <w:vAlign w:val="center"/>
          </w:tcPr>
          <w:p w14:paraId="4B8239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Cs/>
                <w:sz w:val="24"/>
                <w:szCs w:val="24"/>
              </w:rPr>
            </w:pPr>
            <w:r>
              <w:rPr>
                <w:rFonts w:hint="eastAsia" w:ascii="仿宋" w:hAnsi="仿宋" w:eastAsia="仿宋" w:cs="仿宋"/>
                <w:sz w:val="24"/>
                <w:szCs w:val="24"/>
              </w:rPr>
              <w:t>固定电话</w:t>
            </w:r>
          </w:p>
        </w:tc>
        <w:tc>
          <w:tcPr>
            <w:tcW w:w="2223" w:type="dxa"/>
            <w:tcBorders>
              <w:top w:val="single" w:color="auto" w:sz="4" w:space="0"/>
              <w:left w:val="single" w:color="auto" w:sz="4" w:space="0"/>
              <w:bottom w:val="single" w:color="auto" w:sz="4" w:space="0"/>
              <w:right w:val="single" w:color="auto" w:sz="4" w:space="0"/>
            </w:tcBorders>
            <w:vAlign w:val="center"/>
          </w:tcPr>
          <w:p w14:paraId="55358A5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Cs/>
                <w:sz w:val="24"/>
                <w:szCs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0EFDB7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Cs/>
                <w:sz w:val="24"/>
                <w:szCs w:val="24"/>
              </w:rPr>
            </w:pPr>
            <w:r>
              <w:rPr>
                <w:rFonts w:hint="eastAsia" w:ascii="仿宋" w:hAnsi="仿宋" w:eastAsia="仿宋" w:cs="仿宋"/>
                <w:sz w:val="24"/>
                <w:szCs w:val="24"/>
              </w:rPr>
              <w:t>移动电话</w:t>
            </w:r>
          </w:p>
        </w:tc>
        <w:tc>
          <w:tcPr>
            <w:tcW w:w="3082" w:type="dxa"/>
            <w:gridSpan w:val="2"/>
            <w:tcBorders>
              <w:top w:val="single" w:color="auto" w:sz="4" w:space="0"/>
              <w:left w:val="single" w:color="auto" w:sz="4" w:space="0"/>
              <w:bottom w:val="single" w:color="auto" w:sz="4" w:space="0"/>
              <w:right w:val="single" w:color="auto" w:sz="4" w:space="0"/>
            </w:tcBorders>
            <w:vAlign w:val="center"/>
          </w:tcPr>
          <w:p w14:paraId="5C5DB3D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Cs/>
                <w:sz w:val="24"/>
                <w:szCs w:val="24"/>
              </w:rPr>
            </w:pPr>
          </w:p>
        </w:tc>
      </w:tr>
      <w:tr w14:paraId="648C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746" w:type="dxa"/>
            <w:tcBorders>
              <w:top w:val="single" w:color="auto" w:sz="4" w:space="0"/>
              <w:left w:val="single" w:color="auto" w:sz="4" w:space="0"/>
              <w:bottom w:val="single" w:color="auto" w:sz="4" w:space="0"/>
              <w:right w:val="single" w:color="auto" w:sz="4" w:space="0"/>
            </w:tcBorders>
            <w:vAlign w:val="center"/>
          </w:tcPr>
          <w:p w14:paraId="1B6F6D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Cs/>
                <w:sz w:val="24"/>
                <w:szCs w:val="24"/>
              </w:rPr>
            </w:pPr>
            <w:r>
              <w:rPr>
                <w:rFonts w:hint="eastAsia" w:ascii="仿宋" w:hAnsi="仿宋" w:eastAsia="仿宋" w:cs="仿宋"/>
                <w:sz w:val="24"/>
                <w:szCs w:val="24"/>
              </w:rPr>
              <w:t>传真号码</w:t>
            </w:r>
          </w:p>
        </w:tc>
        <w:tc>
          <w:tcPr>
            <w:tcW w:w="2223" w:type="dxa"/>
            <w:tcBorders>
              <w:top w:val="single" w:color="auto" w:sz="4" w:space="0"/>
              <w:left w:val="single" w:color="auto" w:sz="4" w:space="0"/>
              <w:bottom w:val="single" w:color="auto" w:sz="4" w:space="0"/>
              <w:right w:val="single" w:color="auto" w:sz="4" w:space="0"/>
            </w:tcBorders>
            <w:vAlign w:val="center"/>
          </w:tcPr>
          <w:p w14:paraId="387FD42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Cs/>
                <w:sz w:val="24"/>
                <w:szCs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36DD69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Cs/>
                <w:sz w:val="24"/>
                <w:szCs w:val="24"/>
              </w:rPr>
            </w:pPr>
            <w:r>
              <w:rPr>
                <w:rFonts w:hint="eastAsia" w:ascii="仿宋" w:hAnsi="仿宋" w:eastAsia="仿宋" w:cs="仿宋"/>
                <w:sz w:val="24"/>
                <w:szCs w:val="24"/>
              </w:rPr>
              <w:t>邮箱</w:t>
            </w:r>
          </w:p>
        </w:tc>
        <w:tc>
          <w:tcPr>
            <w:tcW w:w="3082" w:type="dxa"/>
            <w:gridSpan w:val="2"/>
            <w:tcBorders>
              <w:top w:val="single" w:color="auto" w:sz="4" w:space="0"/>
              <w:left w:val="single" w:color="auto" w:sz="4" w:space="0"/>
              <w:bottom w:val="single" w:color="auto" w:sz="4" w:space="0"/>
              <w:right w:val="single" w:color="auto" w:sz="4" w:space="0"/>
            </w:tcBorders>
            <w:vAlign w:val="center"/>
          </w:tcPr>
          <w:p w14:paraId="40D21AF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Cs/>
                <w:sz w:val="24"/>
                <w:szCs w:val="24"/>
              </w:rPr>
            </w:pPr>
          </w:p>
        </w:tc>
      </w:tr>
      <w:tr w14:paraId="2A87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8469" w:type="dxa"/>
            <w:gridSpan w:val="6"/>
            <w:tcBorders>
              <w:top w:val="single" w:color="auto" w:sz="4" w:space="0"/>
              <w:left w:val="single" w:color="auto" w:sz="4" w:space="0"/>
              <w:bottom w:val="single" w:color="auto" w:sz="4" w:space="0"/>
              <w:right w:val="single" w:color="auto" w:sz="4" w:space="0"/>
            </w:tcBorders>
            <w:vAlign w:val="center"/>
          </w:tcPr>
          <w:p w14:paraId="6E5229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r>
              <w:rPr>
                <w:rFonts w:hint="eastAsia" w:ascii="仿宋" w:hAnsi="仿宋" w:eastAsia="仿宋" w:cs="仿宋"/>
                <w:b w:val="0"/>
                <w:bCs/>
                <w:sz w:val="24"/>
                <w:szCs w:val="24"/>
              </w:rPr>
              <w:t>二、申报品种及奖补资金申请情况</w:t>
            </w:r>
          </w:p>
        </w:tc>
      </w:tr>
      <w:tr w14:paraId="336D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746" w:type="dxa"/>
            <w:tcBorders>
              <w:top w:val="single" w:color="auto" w:sz="4" w:space="0"/>
              <w:left w:val="single" w:color="auto" w:sz="4" w:space="0"/>
              <w:bottom w:val="single" w:color="auto" w:sz="4" w:space="0"/>
              <w:right w:val="single" w:color="auto" w:sz="4" w:space="0"/>
            </w:tcBorders>
            <w:vAlign w:val="center"/>
          </w:tcPr>
          <w:p w14:paraId="466CB7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申报品种名称</w:t>
            </w:r>
          </w:p>
        </w:tc>
        <w:tc>
          <w:tcPr>
            <w:tcW w:w="2715" w:type="dxa"/>
            <w:gridSpan w:val="2"/>
            <w:tcBorders>
              <w:top w:val="single" w:color="auto" w:sz="4" w:space="0"/>
              <w:left w:val="single" w:color="auto" w:sz="4" w:space="0"/>
              <w:bottom w:val="single" w:color="auto" w:sz="4" w:space="0"/>
              <w:right w:val="single" w:color="auto" w:sz="4" w:space="0"/>
            </w:tcBorders>
            <w:vAlign w:val="center"/>
          </w:tcPr>
          <w:p w14:paraId="4BD2008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 w:val="0"/>
                <w:bCs/>
                <w:sz w:val="24"/>
                <w:szCs w:val="24"/>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13CE31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剂型、规格</w:t>
            </w:r>
          </w:p>
        </w:tc>
        <w:tc>
          <w:tcPr>
            <w:tcW w:w="2232" w:type="dxa"/>
            <w:tcBorders>
              <w:top w:val="single" w:color="auto" w:sz="4" w:space="0"/>
              <w:left w:val="single" w:color="auto" w:sz="4" w:space="0"/>
              <w:bottom w:val="single" w:color="auto" w:sz="4" w:space="0"/>
              <w:right w:val="single" w:color="auto" w:sz="4" w:space="0"/>
            </w:tcBorders>
            <w:vAlign w:val="center"/>
          </w:tcPr>
          <w:p w14:paraId="0BFBDC7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 w:val="0"/>
                <w:bCs/>
                <w:sz w:val="24"/>
                <w:szCs w:val="24"/>
              </w:rPr>
            </w:pPr>
          </w:p>
        </w:tc>
      </w:tr>
      <w:tr w14:paraId="335A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1746" w:type="dxa"/>
            <w:tcBorders>
              <w:top w:val="single" w:color="auto" w:sz="4" w:space="0"/>
              <w:left w:val="single" w:color="auto" w:sz="4" w:space="0"/>
              <w:bottom w:val="single" w:color="auto" w:sz="4" w:space="0"/>
              <w:right w:val="single" w:color="auto" w:sz="4" w:space="0"/>
            </w:tcBorders>
            <w:vAlign w:val="center"/>
          </w:tcPr>
          <w:p w14:paraId="294EB2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批件类型</w:t>
            </w:r>
          </w:p>
        </w:tc>
        <w:tc>
          <w:tcPr>
            <w:tcW w:w="6723" w:type="dxa"/>
            <w:gridSpan w:val="5"/>
            <w:tcBorders>
              <w:top w:val="single" w:color="auto" w:sz="4" w:space="0"/>
              <w:left w:val="single" w:color="auto" w:sz="4" w:space="0"/>
              <w:bottom w:val="single" w:color="auto" w:sz="4" w:space="0"/>
              <w:right w:val="single" w:color="auto" w:sz="4" w:space="0"/>
            </w:tcBorders>
            <w:vAlign w:val="center"/>
          </w:tcPr>
          <w:p w14:paraId="68E8ADB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□按新化学药品注册分类注册申请获批</w:t>
            </w:r>
          </w:p>
          <w:p w14:paraId="4D8722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r>
              <w:rPr>
                <w:rFonts w:hint="eastAsia" w:ascii="仿宋" w:hAnsi="仿宋" w:eastAsia="仿宋" w:cs="仿宋"/>
                <w:b w:val="0"/>
                <w:bCs/>
                <w:sz w:val="24"/>
                <w:szCs w:val="24"/>
              </w:rPr>
              <w:t>□通过仿制药质量和疗效一致性评价</w:t>
            </w:r>
          </w:p>
        </w:tc>
      </w:tr>
      <w:tr w14:paraId="62F9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1746" w:type="dxa"/>
            <w:tcBorders>
              <w:top w:val="single" w:color="auto" w:sz="4" w:space="0"/>
              <w:left w:val="single" w:color="auto" w:sz="4" w:space="0"/>
              <w:bottom w:val="single" w:color="auto" w:sz="4" w:space="0"/>
              <w:right w:val="single" w:color="auto" w:sz="4" w:space="0"/>
            </w:tcBorders>
            <w:vAlign w:val="center"/>
          </w:tcPr>
          <w:p w14:paraId="2E3150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批件编号</w:t>
            </w:r>
          </w:p>
        </w:tc>
        <w:tc>
          <w:tcPr>
            <w:tcW w:w="2715" w:type="dxa"/>
            <w:gridSpan w:val="2"/>
            <w:tcBorders>
              <w:top w:val="single" w:color="auto" w:sz="4" w:space="0"/>
              <w:left w:val="single" w:color="auto" w:sz="4" w:space="0"/>
              <w:bottom w:val="single" w:color="auto" w:sz="4" w:space="0"/>
              <w:right w:val="single" w:color="auto" w:sz="4" w:space="0"/>
            </w:tcBorders>
            <w:vAlign w:val="center"/>
          </w:tcPr>
          <w:p w14:paraId="1481C7B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 w:val="0"/>
                <w:bCs/>
                <w:sz w:val="24"/>
                <w:szCs w:val="24"/>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148425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获批或通过</w:t>
            </w:r>
          </w:p>
          <w:p w14:paraId="7DF35B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时间</w:t>
            </w:r>
          </w:p>
        </w:tc>
        <w:tc>
          <w:tcPr>
            <w:tcW w:w="2232" w:type="dxa"/>
            <w:tcBorders>
              <w:top w:val="single" w:color="auto" w:sz="4" w:space="0"/>
              <w:left w:val="single" w:color="auto" w:sz="4" w:space="0"/>
              <w:bottom w:val="single" w:color="auto" w:sz="4" w:space="0"/>
              <w:right w:val="single" w:color="auto" w:sz="4" w:space="0"/>
            </w:tcBorders>
            <w:vAlign w:val="center"/>
          </w:tcPr>
          <w:p w14:paraId="30F2E3E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ascii="仿宋" w:hAnsi="仿宋" w:eastAsia="仿宋"/>
                <w:b w:val="0"/>
                <w:bCs/>
                <w:sz w:val="24"/>
                <w:szCs w:val="24"/>
              </w:rPr>
            </w:pPr>
            <w:r>
              <w:rPr>
                <w:rFonts w:ascii="仿宋" w:hAnsi="仿宋" w:eastAsia="仿宋" w:cs="仿宋"/>
                <w:b w:val="0"/>
                <w:bCs/>
                <w:sz w:val="24"/>
                <w:szCs w:val="24"/>
              </w:rPr>
              <w:t xml:space="preserve">年 </w:t>
            </w:r>
            <w:r>
              <w:rPr>
                <w:rFonts w:hint="eastAsia" w:ascii="仿宋" w:hAnsi="仿宋" w:eastAsia="仿宋" w:cs="仿宋"/>
                <w:b w:val="0"/>
                <w:bCs/>
                <w:sz w:val="24"/>
                <w:szCs w:val="24"/>
                <w:lang w:val="en-US" w:eastAsia="zh-CN"/>
              </w:rPr>
              <w:t xml:space="preserve"> </w:t>
            </w:r>
            <w:r>
              <w:rPr>
                <w:rFonts w:ascii="仿宋" w:hAnsi="仿宋" w:eastAsia="仿宋" w:cs="仿宋"/>
                <w:b w:val="0"/>
                <w:bCs/>
                <w:sz w:val="24"/>
                <w:szCs w:val="24"/>
              </w:rPr>
              <w:t xml:space="preserve">月 </w:t>
            </w:r>
            <w:r>
              <w:rPr>
                <w:rFonts w:hint="eastAsia" w:ascii="仿宋" w:hAnsi="仿宋" w:eastAsia="仿宋" w:cs="仿宋"/>
                <w:b w:val="0"/>
                <w:bCs/>
                <w:sz w:val="24"/>
                <w:szCs w:val="24"/>
                <w:lang w:val="en-US" w:eastAsia="zh-CN"/>
              </w:rPr>
              <w:t xml:space="preserve"> </w:t>
            </w:r>
            <w:r>
              <w:rPr>
                <w:rFonts w:ascii="仿宋" w:hAnsi="仿宋" w:eastAsia="仿宋" w:cs="仿宋"/>
                <w:b w:val="0"/>
                <w:bCs/>
                <w:sz w:val="24"/>
                <w:szCs w:val="24"/>
              </w:rPr>
              <w:t>日</w:t>
            </w:r>
          </w:p>
        </w:tc>
      </w:tr>
      <w:tr w14:paraId="0475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1746" w:type="dxa"/>
            <w:tcBorders>
              <w:top w:val="single" w:color="auto" w:sz="4" w:space="0"/>
              <w:left w:val="single" w:color="auto" w:sz="4" w:space="0"/>
              <w:bottom w:val="single" w:color="auto" w:sz="4" w:space="0"/>
              <w:right w:val="single" w:color="auto" w:sz="4" w:space="0"/>
            </w:tcBorders>
            <w:vAlign w:val="center"/>
          </w:tcPr>
          <w:p w14:paraId="41B7C0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批件持有人</w:t>
            </w:r>
          </w:p>
        </w:tc>
        <w:tc>
          <w:tcPr>
            <w:tcW w:w="6723" w:type="dxa"/>
            <w:gridSpan w:val="5"/>
            <w:tcBorders>
              <w:top w:val="single" w:color="auto" w:sz="4" w:space="0"/>
              <w:left w:val="single" w:color="auto" w:sz="4" w:space="0"/>
              <w:bottom w:val="single" w:color="auto" w:sz="4" w:space="0"/>
              <w:right w:val="single" w:color="auto" w:sz="4" w:space="0"/>
            </w:tcBorders>
            <w:vAlign w:val="center"/>
          </w:tcPr>
          <w:p w14:paraId="61165F1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ascii="仿宋" w:hAnsi="仿宋" w:eastAsia="仿宋"/>
                <w:b w:val="0"/>
                <w:bCs/>
                <w:sz w:val="24"/>
                <w:szCs w:val="24"/>
              </w:rPr>
            </w:pPr>
            <w:bookmarkStart w:id="0" w:name="_GoBack"/>
            <w:bookmarkEnd w:id="0"/>
          </w:p>
        </w:tc>
      </w:tr>
      <w:tr w14:paraId="778C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0" w:hRule="atLeast"/>
        </w:trPr>
        <w:tc>
          <w:tcPr>
            <w:tcW w:w="1746" w:type="dxa"/>
            <w:tcBorders>
              <w:top w:val="single" w:color="auto" w:sz="4" w:space="0"/>
              <w:left w:val="single" w:color="auto" w:sz="4" w:space="0"/>
              <w:bottom w:val="single" w:color="auto" w:sz="4" w:space="0"/>
              <w:right w:val="single" w:color="auto" w:sz="4" w:space="0"/>
            </w:tcBorders>
            <w:vAlign w:val="center"/>
          </w:tcPr>
          <w:p w14:paraId="2800E7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品种实际发生</w:t>
            </w:r>
          </w:p>
          <w:p w14:paraId="381F1C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费用（万元）</w:t>
            </w:r>
          </w:p>
        </w:tc>
        <w:tc>
          <w:tcPr>
            <w:tcW w:w="2715" w:type="dxa"/>
            <w:gridSpan w:val="2"/>
            <w:tcBorders>
              <w:top w:val="single" w:color="auto" w:sz="4" w:space="0"/>
              <w:left w:val="single" w:color="auto" w:sz="4" w:space="0"/>
              <w:bottom w:val="single" w:color="auto" w:sz="4" w:space="0"/>
              <w:right w:val="single" w:color="auto" w:sz="4" w:space="0"/>
            </w:tcBorders>
            <w:vAlign w:val="center"/>
          </w:tcPr>
          <w:p w14:paraId="0AA7E3A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 w:val="0"/>
                <w:bCs/>
                <w:sz w:val="24"/>
                <w:szCs w:val="24"/>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360A7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申请奖补资金</w:t>
            </w:r>
          </w:p>
          <w:p w14:paraId="006E2D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额度（万元）</w:t>
            </w:r>
          </w:p>
          <w:p w14:paraId="22D7EC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（最高300万元）</w:t>
            </w:r>
          </w:p>
        </w:tc>
        <w:tc>
          <w:tcPr>
            <w:tcW w:w="2232" w:type="dxa"/>
            <w:tcBorders>
              <w:top w:val="single" w:color="auto" w:sz="4" w:space="0"/>
              <w:left w:val="single" w:color="auto" w:sz="4" w:space="0"/>
              <w:bottom w:val="single" w:color="auto" w:sz="4" w:space="0"/>
              <w:right w:val="single" w:color="auto" w:sz="4" w:space="0"/>
            </w:tcBorders>
            <w:vAlign w:val="center"/>
          </w:tcPr>
          <w:p w14:paraId="7C7B800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 w:val="0"/>
                <w:bCs/>
                <w:sz w:val="24"/>
                <w:szCs w:val="24"/>
              </w:rPr>
            </w:pPr>
          </w:p>
        </w:tc>
      </w:tr>
      <w:tr w14:paraId="7233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1746" w:type="dxa"/>
            <w:tcBorders>
              <w:top w:val="single" w:color="auto" w:sz="4" w:space="0"/>
              <w:left w:val="single" w:color="auto" w:sz="4" w:space="0"/>
              <w:bottom w:val="single" w:color="auto" w:sz="4" w:space="0"/>
              <w:right w:val="single" w:color="auto" w:sz="4" w:space="0"/>
            </w:tcBorders>
            <w:vAlign w:val="center"/>
          </w:tcPr>
          <w:p w14:paraId="7BD6E1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费用审计机构</w:t>
            </w:r>
          </w:p>
          <w:p w14:paraId="375620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及报告文号</w:t>
            </w:r>
          </w:p>
        </w:tc>
        <w:tc>
          <w:tcPr>
            <w:tcW w:w="6723" w:type="dxa"/>
            <w:gridSpan w:val="5"/>
            <w:tcBorders>
              <w:top w:val="single" w:color="auto" w:sz="4" w:space="0"/>
              <w:left w:val="single" w:color="auto" w:sz="4" w:space="0"/>
              <w:bottom w:val="single" w:color="auto" w:sz="4" w:space="0"/>
              <w:right w:val="single" w:color="auto" w:sz="4" w:space="0"/>
            </w:tcBorders>
            <w:vAlign w:val="center"/>
          </w:tcPr>
          <w:p w14:paraId="5896EA7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ascii="仿宋" w:hAnsi="仿宋" w:eastAsia="仿宋"/>
                <w:b w:val="0"/>
                <w:bCs/>
                <w:sz w:val="24"/>
                <w:szCs w:val="24"/>
              </w:rPr>
            </w:pPr>
          </w:p>
        </w:tc>
      </w:tr>
      <w:tr w14:paraId="49C3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0" w:hRule="atLeast"/>
        </w:trPr>
        <w:tc>
          <w:tcPr>
            <w:tcW w:w="1746" w:type="dxa"/>
            <w:tcBorders>
              <w:top w:val="single" w:color="auto" w:sz="4" w:space="0"/>
              <w:left w:val="single" w:color="auto" w:sz="4" w:space="0"/>
              <w:bottom w:val="single" w:color="auto" w:sz="4" w:space="0"/>
              <w:right w:val="single" w:color="auto" w:sz="4" w:space="0"/>
            </w:tcBorders>
            <w:vAlign w:val="center"/>
          </w:tcPr>
          <w:p w14:paraId="16D224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val="0"/>
                <w:bCs/>
                <w:sz w:val="24"/>
                <w:szCs w:val="24"/>
              </w:rPr>
            </w:pPr>
            <w:r>
              <w:rPr>
                <w:rFonts w:hint="eastAsia" w:ascii="仿宋" w:hAnsi="仿宋" w:eastAsia="仿宋" w:cs="仿宋"/>
                <w:b w:val="0"/>
                <w:bCs/>
                <w:sz w:val="24"/>
                <w:szCs w:val="24"/>
              </w:rPr>
              <w:t>奖补资金用途</w:t>
            </w:r>
          </w:p>
        </w:tc>
        <w:tc>
          <w:tcPr>
            <w:tcW w:w="6723" w:type="dxa"/>
            <w:gridSpan w:val="5"/>
            <w:tcBorders>
              <w:top w:val="single" w:color="auto" w:sz="4" w:space="0"/>
              <w:left w:val="single" w:color="auto" w:sz="4" w:space="0"/>
              <w:bottom w:val="single" w:color="auto" w:sz="4" w:space="0"/>
              <w:right w:val="single" w:color="auto" w:sz="4" w:space="0"/>
            </w:tcBorders>
            <w:vAlign w:val="center"/>
          </w:tcPr>
          <w:p w14:paraId="1716E38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仿宋" w:hAnsi="仿宋" w:eastAsia="仿宋"/>
                <w:b w:val="0"/>
                <w:bCs/>
                <w:sz w:val="24"/>
                <w:szCs w:val="24"/>
              </w:rPr>
            </w:pPr>
            <w:r>
              <w:rPr>
                <w:rFonts w:hint="eastAsia" w:ascii="仿宋" w:hAnsi="仿宋" w:eastAsia="仿宋" w:cs="仿宋"/>
                <w:b w:val="0"/>
                <w:bCs/>
                <w:sz w:val="24"/>
                <w:szCs w:val="24"/>
              </w:rPr>
              <w:t>本项目为后补助项目，奖补资金用于弥补企业该品种参比制剂采购、药学研究、生物等效性试验、注册检验等研发投入及后续质量提升支出，不得用于偿还债务、支付罚款、发放职工福利、对外投资等与该品种研发和质量提升无关的支出。</w:t>
            </w:r>
          </w:p>
        </w:tc>
      </w:tr>
      <w:tr w14:paraId="4ABE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8469" w:type="dxa"/>
            <w:gridSpan w:val="6"/>
            <w:tcBorders>
              <w:top w:val="single" w:color="auto" w:sz="4" w:space="0"/>
              <w:left w:val="single" w:color="auto" w:sz="4" w:space="0"/>
              <w:bottom w:val="single" w:color="auto" w:sz="4" w:space="0"/>
              <w:right w:val="single" w:color="auto" w:sz="4" w:space="0"/>
            </w:tcBorders>
            <w:vAlign w:val="center"/>
          </w:tcPr>
          <w:p w14:paraId="2F5EBB9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r>
              <w:rPr>
                <w:rFonts w:hint="eastAsia" w:ascii="仿宋" w:hAnsi="仿宋" w:eastAsia="仿宋" w:cs="仿宋"/>
                <w:b w:val="0"/>
                <w:bCs/>
                <w:sz w:val="24"/>
                <w:szCs w:val="24"/>
              </w:rPr>
              <w:t>三、一致性评价情况概述</w:t>
            </w:r>
          </w:p>
        </w:tc>
      </w:tr>
      <w:tr w14:paraId="1956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8" w:hRule="atLeast"/>
        </w:trPr>
        <w:tc>
          <w:tcPr>
            <w:tcW w:w="8469" w:type="dxa"/>
            <w:gridSpan w:val="6"/>
            <w:tcBorders>
              <w:top w:val="single" w:color="auto" w:sz="4" w:space="0"/>
              <w:left w:val="single" w:color="auto" w:sz="4" w:space="0"/>
              <w:bottom w:val="single" w:color="auto" w:sz="4" w:space="0"/>
              <w:right w:val="single" w:color="auto" w:sz="4" w:space="0"/>
            </w:tcBorders>
            <w:vAlign w:val="top"/>
          </w:tcPr>
          <w:p w14:paraId="463F897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r>
              <w:rPr>
                <w:rFonts w:hint="eastAsia" w:ascii="仿宋" w:hAnsi="仿宋" w:eastAsia="仿宋" w:cs="仿宋"/>
                <w:b w:val="0"/>
                <w:bCs/>
                <w:sz w:val="24"/>
                <w:szCs w:val="24"/>
              </w:rPr>
              <w:t>（一）简要叙述按照新化学药品注册分类注册品种或仿制药一致性评价工作开展情况（仿制药一致性评价工作开展情况应包括：药学一致性评价、BE试验、备案情况、同品种通过一致性评价厂家数、该品种市场占有率、截至申报日实际发生费用等）</w:t>
            </w:r>
          </w:p>
        </w:tc>
      </w:tr>
      <w:tr w14:paraId="3875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0" w:hRule="atLeast"/>
        </w:trPr>
        <w:tc>
          <w:tcPr>
            <w:tcW w:w="8469" w:type="dxa"/>
            <w:gridSpan w:val="6"/>
            <w:tcBorders>
              <w:top w:val="single" w:color="auto" w:sz="4" w:space="0"/>
              <w:left w:val="single" w:color="auto" w:sz="4" w:space="0"/>
              <w:bottom w:val="single" w:color="auto" w:sz="4" w:space="0"/>
              <w:right w:val="single" w:color="auto" w:sz="4" w:space="0"/>
            </w:tcBorders>
            <w:vAlign w:val="top"/>
          </w:tcPr>
          <w:p w14:paraId="575E2AD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仿宋" w:hAnsi="仿宋" w:eastAsia="仿宋"/>
                <w:b w:val="0"/>
                <w:bCs/>
                <w:sz w:val="24"/>
                <w:szCs w:val="24"/>
              </w:rPr>
            </w:pPr>
            <w:r>
              <w:rPr>
                <w:rFonts w:hint="eastAsia" w:ascii="仿宋" w:hAnsi="仿宋" w:eastAsia="仿宋" w:cs="仿宋"/>
                <w:b w:val="0"/>
                <w:bCs/>
                <w:sz w:val="24"/>
                <w:szCs w:val="24"/>
              </w:rPr>
              <w:t>（二）企业研发能力（负责质检、管理专门机构及专职人员情况，负责监测与评价专门机构及专职人员情况）</w:t>
            </w:r>
          </w:p>
        </w:tc>
      </w:tr>
      <w:tr w14:paraId="2CD9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8" w:hRule="atLeast"/>
        </w:trPr>
        <w:tc>
          <w:tcPr>
            <w:tcW w:w="8469" w:type="dxa"/>
            <w:gridSpan w:val="6"/>
            <w:tcBorders>
              <w:top w:val="single" w:color="auto" w:sz="4" w:space="0"/>
              <w:left w:val="single" w:color="auto" w:sz="4" w:space="0"/>
              <w:bottom w:val="single" w:color="auto" w:sz="4" w:space="0"/>
              <w:right w:val="single" w:color="auto" w:sz="4" w:space="0"/>
            </w:tcBorders>
            <w:vAlign w:val="top"/>
          </w:tcPr>
          <w:p w14:paraId="18DE97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仿宋" w:hAnsi="仿宋" w:eastAsia="仿宋"/>
                <w:b w:val="0"/>
                <w:bCs/>
                <w:sz w:val="24"/>
                <w:szCs w:val="24"/>
              </w:rPr>
            </w:pPr>
            <w:r>
              <w:rPr>
                <w:rFonts w:hint="eastAsia" w:ascii="仿宋" w:hAnsi="仿宋" w:eastAsia="仿宋" w:cs="仿宋"/>
                <w:b w:val="0"/>
                <w:bCs/>
                <w:sz w:val="24"/>
                <w:szCs w:val="24"/>
              </w:rPr>
              <w:t>（三）内控质量标准及工艺规程简介</w:t>
            </w:r>
          </w:p>
        </w:tc>
      </w:tr>
      <w:tr w14:paraId="59DE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4" w:hRule="atLeast"/>
        </w:trPr>
        <w:tc>
          <w:tcPr>
            <w:tcW w:w="8469" w:type="dxa"/>
            <w:gridSpan w:val="6"/>
            <w:tcBorders>
              <w:top w:val="single" w:color="auto" w:sz="4" w:space="0"/>
              <w:left w:val="single" w:color="auto" w:sz="4" w:space="0"/>
              <w:bottom w:val="single" w:color="auto" w:sz="4" w:space="0"/>
              <w:right w:val="single" w:color="auto" w:sz="4" w:space="0"/>
            </w:tcBorders>
            <w:vAlign w:val="top"/>
          </w:tcPr>
          <w:p w14:paraId="5AA816C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仿宋" w:hAnsi="仿宋" w:eastAsia="仿宋"/>
                <w:b w:val="0"/>
                <w:bCs/>
                <w:sz w:val="24"/>
                <w:szCs w:val="24"/>
              </w:rPr>
            </w:pPr>
            <w:r>
              <w:rPr>
                <w:rFonts w:hint="eastAsia" w:ascii="仿宋" w:hAnsi="仿宋" w:eastAsia="仿宋" w:cs="仿宋"/>
                <w:b w:val="0"/>
                <w:bCs/>
                <w:sz w:val="24"/>
                <w:szCs w:val="24"/>
              </w:rPr>
              <w:t>（四）药品销售情况（包括销售额、市场区域、本公司产品的市场占有率）</w:t>
            </w:r>
          </w:p>
        </w:tc>
      </w:tr>
      <w:tr w14:paraId="5D87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8469" w:type="dxa"/>
            <w:gridSpan w:val="6"/>
            <w:tcBorders>
              <w:top w:val="single" w:color="auto" w:sz="4" w:space="0"/>
              <w:left w:val="single" w:color="auto" w:sz="4" w:space="0"/>
              <w:bottom w:val="single" w:color="auto" w:sz="4" w:space="0"/>
              <w:right w:val="single" w:color="auto" w:sz="4" w:space="0"/>
            </w:tcBorders>
            <w:vAlign w:val="center"/>
          </w:tcPr>
          <w:p w14:paraId="4EBA4B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r>
              <w:rPr>
                <w:rFonts w:hint="eastAsia" w:ascii="仿宋" w:hAnsi="仿宋" w:eastAsia="仿宋" w:cs="仿宋"/>
                <w:b w:val="0"/>
                <w:bCs/>
                <w:sz w:val="24"/>
                <w:szCs w:val="24"/>
              </w:rPr>
              <w:t>四、审核意见</w:t>
            </w:r>
          </w:p>
        </w:tc>
      </w:tr>
      <w:tr w14:paraId="4A62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5" w:hRule="atLeast"/>
        </w:trPr>
        <w:tc>
          <w:tcPr>
            <w:tcW w:w="8469" w:type="dxa"/>
            <w:gridSpan w:val="6"/>
            <w:tcBorders>
              <w:top w:val="single" w:color="auto" w:sz="4" w:space="0"/>
              <w:left w:val="single" w:color="auto" w:sz="4" w:space="0"/>
              <w:bottom w:val="single" w:color="auto" w:sz="4" w:space="0"/>
              <w:right w:val="single" w:color="auto" w:sz="4" w:space="0"/>
            </w:tcBorders>
            <w:vAlign w:val="top"/>
          </w:tcPr>
          <w:p w14:paraId="43648E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r>
              <w:rPr>
                <w:rFonts w:hint="eastAsia" w:ascii="仿宋" w:hAnsi="仿宋" w:eastAsia="仿宋" w:cs="仿宋"/>
                <w:b w:val="0"/>
                <w:bCs/>
                <w:sz w:val="24"/>
                <w:szCs w:val="24"/>
              </w:rPr>
              <w:t>旗县（区）工信部门推荐意见：</w:t>
            </w:r>
          </w:p>
          <w:p w14:paraId="28A9CE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r>
              <w:rPr>
                <w:rFonts w:hint="eastAsia" w:ascii="仿宋" w:hAnsi="仿宋" w:eastAsia="仿宋" w:cs="仿宋"/>
                <w:b w:val="0"/>
                <w:bCs/>
                <w:sz w:val="24"/>
                <w:szCs w:val="24"/>
              </w:rPr>
              <w:t>经审核，以上填写内容真实、合规，符合资金申报要求，予以推荐。</w:t>
            </w:r>
          </w:p>
          <w:p w14:paraId="6DCB4E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p>
          <w:p w14:paraId="721BD8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p>
          <w:p w14:paraId="5B4C26E0">
            <w:pPr>
              <w:spacing w:line="400" w:lineRule="exact"/>
              <w:ind w:firstLine="4800" w:firstLineChars="2000"/>
              <w:jc w:val="left"/>
              <w:rPr>
                <w:b w:val="0"/>
                <w:bCs/>
                <w:sz w:val="24"/>
                <w:szCs w:val="24"/>
              </w:rPr>
            </w:pPr>
            <w:r>
              <w:rPr>
                <w:rFonts w:ascii="仿宋" w:hAnsi="仿宋" w:eastAsia="仿宋" w:cs="仿宋"/>
                <w:b w:val="0"/>
                <w:bCs/>
                <w:sz w:val="24"/>
                <w:szCs w:val="24"/>
              </w:rPr>
              <w:t>单位盖章：</w:t>
            </w:r>
          </w:p>
          <w:p w14:paraId="3E618585">
            <w:pPr>
              <w:spacing w:line="400" w:lineRule="exact"/>
              <w:ind w:firstLine="5160" w:firstLineChars="2150"/>
              <w:jc w:val="left"/>
              <w:rPr>
                <w:b w:val="0"/>
                <w:bCs/>
                <w:sz w:val="24"/>
                <w:szCs w:val="24"/>
              </w:rPr>
            </w:pPr>
            <w:r>
              <w:rPr>
                <w:rFonts w:ascii="仿宋" w:hAnsi="仿宋" w:eastAsia="仿宋" w:cs="仿宋"/>
                <w:b w:val="0"/>
                <w:bCs/>
                <w:sz w:val="24"/>
                <w:szCs w:val="24"/>
              </w:rPr>
              <w:t>年    月    日</w:t>
            </w:r>
          </w:p>
        </w:tc>
      </w:tr>
      <w:tr w14:paraId="1D7C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5" w:hRule="atLeast"/>
        </w:trPr>
        <w:tc>
          <w:tcPr>
            <w:tcW w:w="8469" w:type="dxa"/>
            <w:gridSpan w:val="6"/>
            <w:tcBorders>
              <w:top w:val="single" w:color="auto" w:sz="4" w:space="0"/>
              <w:left w:val="single" w:color="auto" w:sz="4" w:space="0"/>
              <w:bottom w:val="single" w:color="auto" w:sz="4" w:space="0"/>
              <w:right w:val="single" w:color="auto" w:sz="4" w:space="0"/>
            </w:tcBorders>
            <w:vAlign w:val="top"/>
          </w:tcPr>
          <w:p w14:paraId="1916C02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r>
              <w:rPr>
                <w:rFonts w:hint="eastAsia" w:ascii="仿宋" w:hAnsi="仿宋" w:eastAsia="仿宋" w:cs="仿宋"/>
                <w:b w:val="0"/>
                <w:bCs/>
                <w:sz w:val="24"/>
                <w:szCs w:val="24"/>
              </w:rPr>
              <w:t>盟市工信部门审核意见</w:t>
            </w:r>
          </w:p>
          <w:p w14:paraId="0F3948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p>
          <w:p w14:paraId="0CBDE5D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p>
          <w:p w14:paraId="7F7082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 w:hAnsi="仿宋" w:eastAsia="仿宋"/>
                <w:b w:val="0"/>
                <w:bCs/>
                <w:sz w:val="24"/>
                <w:szCs w:val="24"/>
              </w:rPr>
            </w:pPr>
          </w:p>
          <w:p w14:paraId="258DF50A">
            <w:pPr>
              <w:spacing w:line="400" w:lineRule="exact"/>
              <w:ind w:firstLine="4800" w:firstLineChars="2000"/>
              <w:jc w:val="left"/>
              <w:rPr>
                <w:b w:val="0"/>
                <w:bCs/>
                <w:sz w:val="24"/>
                <w:szCs w:val="24"/>
              </w:rPr>
            </w:pPr>
            <w:r>
              <w:rPr>
                <w:rFonts w:ascii="仿宋" w:hAnsi="仿宋" w:eastAsia="仿宋" w:cs="仿宋"/>
                <w:b w:val="0"/>
                <w:bCs/>
                <w:sz w:val="24"/>
                <w:szCs w:val="24"/>
              </w:rPr>
              <w:t>单位盖章：</w:t>
            </w:r>
          </w:p>
          <w:p w14:paraId="150AB5B8">
            <w:pPr>
              <w:spacing w:line="400" w:lineRule="exact"/>
              <w:ind w:firstLine="5160" w:firstLineChars="2150"/>
              <w:jc w:val="left"/>
              <w:rPr>
                <w:b w:val="0"/>
                <w:bCs/>
                <w:sz w:val="24"/>
                <w:szCs w:val="24"/>
              </w:rPr>
            </w:pPr>
            <w:r>
              <w:rPr>
                <w:rFonts w:ascii="仿宋" w:hAnsi="仿宋" w:eastAsia="仿宋" w:cs="仿宋"/>
                <w:b w:val="0"/>
                <w:bCs/>
                <w:sz w:val="24"/>
                <w:szCs w:val="24"/>
              </w:rPr>
              <w:t>年    月    日</w:t>
            </w:r>
          </w:p>
        </w:tc>
      </w:tr>
    </w:tbl>
    <w:p w14:paraId="782B6C56">
      <w:r>
        <w:rPr>
          <w:rFonts w:ascii="Calibri" w:hAnsi="Calibri" w:eastAsia="宋体" w:cs="Times New Roman"/>
          <w:b w:val="0"/>
          <w:bCs/>
          <w:sz w:val="21"/>
          <w:szCs w:val="22"/>
          <w:lang w:val="en-US" w:eastAsia="zh-CN" w:bidi="ar-SA"/>
        </w:rPr>
        <w:br w:type="page"/>
      </w:r>
    </w:p>
    <w:p w14:paraId="7573639E">
      <w:pPr>
        <w:rPr>
          <w:rFonts w:hint="eastAsia" w:ascii="黑体" w:hAnsi="黑体" w:eastAsia="黑体" w:cs="黑体"/>
          <w:sz w:val="32"/>
          <w:szCs w:val="32"/>
        </w:rPr>
      </w:pPr>
      <w:r>
        <w:rPr>
          <w:rFonts w:hint="eastAsia" w:ascii="黑体" w:hAnsi="黑体" w:eastAsia="黑体" w:cs="黑体"/>
          <w:sz w:val="32"/>
          <w:szCs w:val="32"/>
        </w:rPr>
        <w:t>附件2</w:t>
      </w:r>
    </w:p>
    <w:p w14:paraId="5700A457">
      <w:pPr>
        <w:rPr>
          <w:rFonts w:hint="eastAsia" w:ascii="黑体" w:hAnsi="黑体" w:eastAsia="黑体" w:cs="黑体"/>
          <w:sz w:val="32"/>
          <w:szCs w:val="32"/>
        </w:rPr>
      </w:pPr>
    </w:p>
    <w:p w14:paraId="405B51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bCs/>
          <w:sz w:val="32"/>
          <w:szCs w:val="32"/>
          <w:lang w:eastAsia="zh-CN"/>
        </w:rPr>
      </w:pPr>
      <w:r>
        <w:rPr>
          <w:rFonts w:hint="eastAsia" w:ascii="黑体" w:hAnsi="黑体" w:eastAsia="黑体" w:cs="黑体"/>
          <w:sz w:val="32"/>
          <w:szCs w:val="32"/>
          <w:lang w:eastAsia="zh-CN"/>
        </w:rPr>
        <w:t>自治区仿制药一致性评价奖补资金绩效目标表（2026年）</w:t>
      </w:r>
    </w:p>
    <w:tbl>
      <w:tblPr>
        <w:tblStyle w:val="7"/>
        <w:tblW w:w="85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4"/>
        <w:gridCol w:w="616"/>
        <w:gridCol w:w="642"/>
        <w:gridCol w:w="2384"/>
        <w:gridCol w:w="1031"/>
        <w:gridCol w:w="796"/>
        <w:gridCol w:w="742"/>
        <w:gridCol w:w="652"/>
        <w:gridCol w:w="462"/>
        <w:gridCol w:w="560"/>
      </w:tblGrid>
      <w:tr w14:paraId="6BE5C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62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项目编码</w:t>
            </w:r>
          </w:p>
        </w:tc>
        <w:tc>
          <w:tcPr>
            <w:tcW w:w="6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E2F2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0"/>
                <w:szCs w:val="20"/>
                <w:u w:val="none"/>
              </w:rPr>
            </w:pPr>
          </w:p>
        </w:tc>
      </w:tr>
      <w:tr w14:paraId="7D2C3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2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sz w:val="18"/>
                <w:szCs w:val="18"/>
                <w:u w:val="none"/>
                <w:lang w:val="en-US" w:eastAsia="zh-CN" w:bidi="ar"/>
              </w:rPr>
              <w:t>项目名称</w:t>
            </w:r>
          </w:p>
        </w:tc>
        <w:tc>
          <w:tcPr>
            <w:tcW w:w="6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FBD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（申报项目名称）</w:t>
            </w:r>
          </w:p>
        </w:tc>
      </w:tr>
      <w:tr w14:paraId="1AF9A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7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sz w:val="18"/>
                <w:szCs w:val="18"/>
                <w:u w:val="none"/>
                <w:lang w:val="en-US" w:eastAsia="zh-CN" w:bidi="ar"/>
              </w:rPr>
              <w:t>主管部门</w:t>
            </w:r>
          </w:p>
        </w:tc>
        <w:tc>
          <w:tcPr>
            <w:tcW w:w="6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7A635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cs="宋体"/>
                <w:b/>
                <w:i w:val="0"/>
                <w:color w:val="000000"/>
                <w:sz w:val="20"/>
                <w:szCs w:val="20"/>
                <w:u w:val="none"/>
                <w:lang w:val="en-US" w:eastAsia="zh-CN" w:bidi="ar"/>
              </w:rPr>
              <w:t xml:space="preserve"> </w:t>
            </w:r>
          </w:p>
        </w:tc>
      </w:tr>
      <w:tr w14:paraId="7D9D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F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sz w:val="18"/>
                <w:szCs w:val="18"/>
                <w:u w:val="none"/>
                <w:lang w:val="en-US" w:eastAsia="zh-CN" w:bidi="ar"/>
              </w:rPr>
              <w:t>实施单位</w:t>
            </w:r>
          </w:p>
        </w:tc>
        <w:tc>
          <w:tcPr>
            <w:tcW w:w="6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A6FE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（申报企业名称）</w:t>
            </w:r>
          </w:p>
        </w:tc>
      </w:tr>
      <w:tr w14:paraId="08F9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2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sz w:val="18"/>
                <w:szCs w:val="18"/>
                <w:u w:val="none"/>
                <w:lang w:val="en-US" w:eastAsia="zh-CN" w:bidi="ar"/>
              </w:rPr>
              <w:t>年度目标</w:t>
            </w:r>
          </w:p>
        </w:tc>
        <w:tc>
          <w:tcPr>
            <w:tcW w:w="6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7FCA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申报品种通过仿制药质量和疗效一致性评价（或按新化学药品注册分类注册申请获批），获补品种实现稳定生产销售，年产量达XX（吨/支/盒等），实现销售收入XX万元，带动新增就业XX人；奖补资金专款专用，全部用于弥补该品种研发投入。</w:t>
            </w:r>
          </w:p>
        </w:tc>
      </w:tr>
      <w:tr w14:paraId="5826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7F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sz w:val="18"/>
                <w:szCs w:val="18"/>
                <w:u w:val="none"/>
                <w:lang w:val="en-US" w:eastAsia="zh-CN" w:bidi="ar"/>
              </w:rPr>
              <w:t>绩效指标</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9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一级指标</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BE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二级指标</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3D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三级指标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A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指标性质</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55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指标方向</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87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目标值</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1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计量单位</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77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分值</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4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sz w:val="20"/>
                <w:szCs w:val="20"/>
                <w:u w:val="none"/>
                <w:lang w:val="en-US" w:eastAsia="zh-CN" w:bidi="ar"/>
              </w:rPr>
              <w:t>备注</w:t>
            </w:r>
          </w:p>
        </w:tc>
      </w:tr>
      <w:tr w14:paraId="07595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7DCD3">
            <w:pPr>
              <w:rPr>
                <w:b w:val="0"/>
                <w:bCs w:val="0"/>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4DF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产出指标</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35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数量指标</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63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获补品种年产量</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7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正向</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8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大于等于</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1B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XX</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60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吨/支/盒等</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6E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10</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00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6F55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7D4AF">
            <w:pPr>
              <w:rPr>
                <w:b w:val="0"/>
                <w:bCs w:val="0"/>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B175A">
            <w:pPr>
              <w:rPr>
                <w:b w:val="0"/>
                <w:bCs w:val="0"/>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B6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质量指标</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FD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奖补资金专款专用合规率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EC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正向</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F6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等于</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E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100</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0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5A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15</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DE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260EE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83743">
            <w:pPr>
              <w:rPr>
                <w:b w:val="0"/>
                <w:bCs w:val="0"/>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18DDB">
            <w:pPr>
              <w:rPr>
                <w:b w:val="0"/>
                <w:bCs w:val="0"/>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BC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时效指标</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11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奖补资金使用完成率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E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正向</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B6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大于等于</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4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100</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0A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4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rPr>
            </w:pPr>
            <w:r>
              <w:rPr>
                <w:rFonts w:hint="eastAsia" w:ascii="宋体" w:hAnsi="宋体" w:eastAsia="宋体" w:cs="宋体"/>
                <w:b w:val="0"/>
                <w:bCs w:val="0"/>
                <w:i w:val="0"/>
                <w:color w:val="000000"/>
                <w:sz w:val="20"/>
                <w:szCs w:val="20"/>
                <w:u w:val="none"/>
                <w:lang w:val="en-US" w:eastAsia="zh-CN" w:bidi="ar"/>
              </w:rPr>
              <w:t>10</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B7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1F74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B9EA5">
            <w:pPr>
              <w:rPr>
                <w:b w:val="0"/>
                <w:bCs w:val="0"/>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445C3">
            <w:pPr>
              <w:rPr>
                <w:b w:val="0"/>
                <w:bCs w:val="0"/>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36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成本指标</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2E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rPr>
              <w:t>奖补资金占品种研发投入比例</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5D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反向</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CB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lang w:eastAsia="zh-CN"/>
              </w:rPr>
            </w:pPr>
            <w:r>
              <w:rPr>
                <w:rFonts w:hint="eastAsia" w:ascii="宋体" w:hAnsi="宋体" w:eastAsia="宋体" w:cs="宋体"/>
                <w:b w:val="0"/>
                <w:bCs w:val="0"/>
                <w:i w:val="0"/>
                <w:color w:val="000000"/>
                <w:sz w:val="20"/>
                <w:szCs w:val="20"/>
                <w:u w:val="none"/>
                <w:lang w:eastAsia="zh-CN"/>
              </w:rPr>
              <w:t>小于等于</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2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100</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39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36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5</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4D5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1AE4B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7FC22">
            <w:pPr>
              <w:rPr>
                <w:b w:val="0"/>
                <w:bCs w:val="0"/>
              </w:rPr>
            </w:pPr>
          </w:p>
        </w:tc>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7F2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效益指标</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A9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经济效益</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4D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获补品种年销售收入</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D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正向</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84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大于等于</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FE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XX</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E7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万元</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5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rPr>
            </w:pPr>
            <w:r>
              <w:rPr>
                <w:rFonts w:hint="eastAsia" w:ascii="宋体" w:hAnsi="宋体" w:eastAsia="宋体" w:cs="宋体"/>
                <w:b w:val="0"/>
                <w:bCs w:val="0"/>
                <w:i w:val="0"/>
                <w:color w:val="000000"/>
                <w:sz w:val="20"/>
                <w:szCs w:val="20"/>
                <w:u w:val="none"/>
                <w:lang w:val="en-US" w:eastAsia="zh-CN" w:bidi="ar"/>
              </w:rPr>
              <w:t>10</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B8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47F1C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82D83">
            <w:pPr>
              <w:rPr>
                <w:b w:val="0"/>
                <w:bCs w:val="0"/>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50D00">
            <w:pPr>
              <w:rPr>
                <w:b w:val="0"/>
                <w:bCs w:val="0"/>
              </w:rPr>
            </w:pP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E8367">
            <w:pPr>
              <w:rPr>
                <w:b w:val="0"/>
                <w:bCs w:val="0"/>
              </w:rPr>
            </w:pP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B8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企业研发投入同比增长率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5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正向</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AF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大于等于</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4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rPr>
            </w:pPr>
            <w:r>
              <w:rPr>
                <w:rFonts w:hint="eastAsia" w:ascii="宋体" w:hAnsi="宋体" w:eastAsia="宋体" w:cs="宋体"/>
                <w:b w:val="0"/>
                <w:bCs w:val="0"/>
                <w:i w:val="0"/>
                <w:color w:val="000000"/>
                <w:sz w:val="20"/>
                <w:szCs w:val="20"/>
                <w:u w:val="none"/>
                <w:lang w:val="en-US" w:eastAsia="zh-CN" w:bidi="ar"/>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34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9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rPr>
            </w:pPr>
            <w:r>
              <w:rPr>
                <w:rFonts w:hint="eastAsia" w:ascii="宋体" w:hAnsi="宋体" w:eastAsia="宋体" w:cs="宋体"/>
                <w:b w:val="0"/>
                <w:bCs w:val="0"/>
                <w:i w:val="0"/>
                <w:color w:val="000000"/>
                <w:sz w:val="20"/>
                <w:szCs w:val="20"/>
                <w:u w:val="none"/>
                <w:lang w:val="en-US" w:eastAsia="zh-CN" w:bidi="ar"/>
              </w:rPr>
              <w:t>10</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2D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4B57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06DA5">
            <w:pPr>
              <w:rPr>
                <w:b w:val="0"/>
                <w:bCs w:val="0"/>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5D229">
            <w:pPr>
              <w:rPr>
                <w:b w:val="0"/>
                <w:bCs w:val="0"/>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3D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社会效益</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34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rPr>
              <w:t>带动新增就业人数</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82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正向</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2A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大于等于</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57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5</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40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lang w:eastAsia="zh-CN"/>
              </w:rPr>
            </w:pPr>
            <w:r>
              <w:rPr>
                <w:rFonts w:hint="eastAsia" w:ascii="宋体" w:hAnsi="宋体" w:eastAsia="宋体" w:cs="宋体"/>
                <w:b w:val="0"/>
                <w:bCs w:val="0"/>
                <w:i w:val="0"/>
                <w:color w:val="000000"/>
                <w:sz w:val="20"/>
                <w:szCs w:val="20"/>
                <w:u w:val="none"/>
                <w:lang w:eastAsia="zh-CN"/>
              </w:rPr>
              <w:t>人</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53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rPr>
            </w:pPr>
            <w:r>
              <w:rPr>
                <w:rFonts w:hint="eastAsia" w:ascii="宋体" w:hAnsi="宋体" w:eastAsia="宋体" w:cs="宋体"/>
                <w:b w:val="0"/>
                <w:bCs w:val="0"/>
                <w:i w:val="0"/>
                <w:color w:val="000000"/>
                <w:sz w:val="20"/>
                <w:szCs w:val="20"/>
                <w:u w:val="none"/>
                <w:lang w:val="en-US" w:eastAsia="zh-CN" w:bidi="ar"/>
              </w:rPr>
              <w:t>10</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75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1465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8869C">
            <w:pPr>
              <w:rPr>
                <w:b w:val="0"/>
                <w:bCs w:val="0"/>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72E14">
            <w:pPr>
              <w:rPr>
                <w:b w:val="0"/>
                <w:bCs w:val="0"/>
              </w:rPr>
            </w:pP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C1C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可持续影响</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B3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val="0"/>
                <w:bCs w:val="0"/>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提升获补企业</w:t>
            </w:r>
          </w:p>
          <w:p w14:paraId="01398C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研发管理水平</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B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定性</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28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F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有效提高</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74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EB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10</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D4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2802D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7"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6FCFB">
            <w:pPr>
              <w:rPr>
                <w:b w:val="0"/>
                <w:bCs w:val="0"/>
              </w:rPr>
            </w:pPr>
          </w:p>
        </w:tc>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46EFB">
            <w:pPr>
              <w:rPr>
                <w:b w:val="0"/>
                <w:bCs w:val="0"/>
              </w:rPr>
            </w:pP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A97C6">
            <w:pPr>
              <w:rPr>
                <w:b w:val="0"/>
                <w:bCs w:val="0"/>
              </w:rPr>
            </w:pP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0B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对企业发展、技术创新等产生可持续影响</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F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定性</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05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25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持续影响</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B1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1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lang w:val="en-US" w:eastAsia="zh-CN"/>
              </w:rPr>
            </w:pPr>
            <w:r>
              <w:rPr>
                <w:rFonts w:hint="eastAsia" w:ascii="宋体" w:hAnsi="宋体" w:eastAsia="宋体" w:cs="宋体"/>
                <w:b w:val="0"/>
                <w:bCs w:val="0"/>
                <w:i w:val="0"/>
                <w:color w:val="000000"/>
                <w:sz w:val="20"/>
                <w:szCs w:val="20"/>
                <w:u w:val="none"/>
                <w:lang w:val="en-US" w:eastAsia="zh-CN"/>
              </w:rPr>
              <w:t>5</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8F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r w14:paraId="741EC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3"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A4483">
            <w:pPr>
              <w:rPr>
                <w:b w:val="0"/>
                <w:bCs w:val="0"/>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A9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满意度指标</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EF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服务对象满意度</w:t>
            </w:r>
          </w:p>
        </w:tc>
        <w:tc>
          <w:tcPr>
            <w:tcW w:w="2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15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产品用户满意度</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26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正向</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37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大于等于</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6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90</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65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val="0"/>
                <w:bCs w:val="0"/>
                <w:i w:val="0"/>
                <w:color w:val="000000"/>
                <w:sz w:val="20"/>
                <w:szCs w:val="20"/>
                <w:u w:val="none"/>
              </w:rPr>
            </w:pPr>
            <w:r>
              <w:rPr>
                <w:rFonts w:hint="eastAsia" w:ascii="宋体" w:hAnsi="宋体" w:eastAsia="宋体" w:cs="宋体"/>
                <w:b w:val="0"/>
                <w:bCs w:val="0"/>
                <w:i w:val="0"/>
                <w:color w:val="000000"/>
                <w:sz w:val="20"/>
                <w:szCs w:val="20"/>
                <w:u w:val="none"/>
                <w:lang w:val="en-US" w:eastAsia="zh-CN" w:bidi="ar"/>
              </w:rPr>
              <w:t>%</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D1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val="0"/>
                <w:bCs w:val="0"/>
                <w:i w:val="0"/>
                <w:color w:val="000000"/>
                <w:sz w:val="20"/>
                <w:szCs w:val="20"/>
                <w:u w:val="none"/>
                <w:lang w:val="en-US"/>
              </w:rPr>
            </w:pPr>
            <w:r>
              <w:rPr>
                <w:rFonts w:hint="eastAsia" w:ascii="宋体" w:hAnsi="宋体" w:eastAsia="宋体" w:cs="宋体"/>
                <w:b w:val="0"/>
                <w:bCs w:val="0"/>
                <w:i w:val="0"/>
                <w:color w:val="000000"/>
                <w:sz w:val="20"/>
                <w:szCs w:val="20"/>
                <w:u w:val="none"/>
                <w:lang w:val="en-US" w:eastAsia="zh-CN" w:bidi="ar"/>
              </w:rPr>
              <w:t>15</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08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color w:val="000000"/>
                <w:sz w:val="20"/>
                <w:szCs w:val="20"/>
                <w:u w:val="none"/>
              </w:rPr>
            </w:pPr>
          </w:p>
        </w:tc>
      </w:tr>
    </w:tbl>
    <w:p w14:paraId="23915FDC">
      <w:pPr>
        <w:spacing w:line="600" w:lineRule="exact"/>
        <w:jc w:val="left"/>
        <w:rPr>
          <w:sz w:val="2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GVhZTQ1MzQyMjZlMmI3ZDc3NTI1NzJhYTQ5MGQifQ=="/>
  </w:docVars>
  <w:rsids>
    <w:rsidRoot w:val="009658FF"/>
    <w:rsid w:val="00036711"/>
    <w:rsid w:val="000677DD"/>
    <w:rsid w:val="00074D07"/>
    <w:rsid w:val="00096A7E"/>
    <w:rsid w:val="000B3B76"/>
    <w:rsid w:val="000C22CA"/>
    <w:rsid w:val="00141E1B"/>
    <w:rsid w:val="00152B37"/>
    <w:rsid w:val="00164E73"/>
    <w:rsid w:val="00173A26"/>
    <w:rsid w:val="001821E4"/>
    <w:rsid w:val="001A0A1E"/>
    <w:rsid w:val="001B3E5C"/>
    <w:rsid w:val="001D1C2D"/>
    <w:rsid w:val="001E69EB"/>
    <w:rsid w:val="001F51C2"/>
    <w:rsid w:val="0024529C"/>
    <w:rsid w:val="00290672"/>
    <w:rsid w:val="002C1CF0"/>
    <w:rsid w:val="0037030C"/>
    <w:rsid w:val="003B100B"/>
    <w:rsid w:val="003D06E9"/>
    <w:rsid w:val="003D4A13"/>
    <w:rsid w:val="003E4B24"/>
    <w:rsid w:val="004A4BE3"/>
    <w:rsid w:val="004B58E0"/>
    <w:rsid w:val="004E471B"/>
    <w:rsid w:val="00502FF6"/>
    <w:rsid w:val="00510DAC"/>
    <w:rsid w:val="00525708"/>
    <w:rsid w:val="00526BBA"/>
    <w:rsid w:val="00526BDC"/>
    <w:rsid w:val="0054797F"/>
    <w:rsid w:val="00551AC1"/>
    <w:rsid w:val="0057207E"/>
    <w:rsid w:val="005A164E"/>
    <w:rsid w:val="005A483B"/>
    <w:rsid w:val="006040C7"/>
    <w:rsid w:val="00625328"/>
    <w:rsid w:val="0064547E"/>
    <w:rsid w:val="00723371"/>
    <w:rsid w:val="00786145"/>
    <w:rsid w:val="0079269E"/>
    <w:rsid w:val="007B1E1F"/>
    <w:rsid w:val="007C6F0B"/>
    <w:rsid w:val="00822B7E"/>
    <w:rsid w:val="00843AB8"/>
    <w:rsid w:val="008D0B76"/>
    <w:rsid w:val="0091575D"/>
    <w:rsid w:val="0092197E"/>
    <w:rsid w:val="009658FF"/>
    <w:rsid w:val="009A32AB"/>
    <w:rsid w:val="009E22B8"/>
    <w:rsid w:val="00A20B68"/>
    <w:rsid w:val="00A4196A"/>
    <w:rsid w:val="00A4638A"/>
    <w:rsid w:val="00A56365"/>
    <w:rsid w:val="00AA0293"/>
    <w:rsid w:val="00AB42CC"/>
    <w:rsid w:val="00AF4739"/>
    <w:rsid w:val="00B53B65"/>
    <w:rsid w:val="00B61741"/>
    <w:rsid w:val="00B76D8E"/>
    <w:rsid w:val="00B80DAE"/>
    <w:rsid w:val="00BA609F"/>
    <w:rsid w:val="00BF218E"/>
    <w:rsid w:val="00C13228"/>
    <w:rsid w:val="00C45B44"/>
    <w:rsid w:val="00C63EB3"/>
    <w:rsid w:val="00C77794"/>
    <w:rsid w:val="00CB5AFB"/>
    <w:rsid w:val="00CE5B7F"/>
    <w:rsid w:val="00CF0C4D"/>
    <w:rsid w:val="00CF469F"/>
    <w:rsid w:val="00D2781A"/>
    <w:rsid w:val="00D40CB9"/>
    <w:rsid w:val="00D40EB0"/>
    <w:rsid w:val="00DA7C58"/>
    <w:rsid w:val="00DD43E8"/>
    <w:rsid w:val="00DD71FD"/>
    <w:rsid w:val="00DF39E4"/>
    <w:rsid w:val="00E21AC7"/>
    <w:rsid w:val="00E271AB"/>
    <w:rsid w:val="00E50137"/>
    <w:rsid w:val="00E50392"/>
    <w:rsid w:val="00E545A0"/>
    <w:rsid w:val="00E54C84"/>
    <w:rsid w:val="00E6133D"/>
    <w:rsid w:val="00E62759"/>
    <w:rsid w:val="00EB0FBC"/>
    <w:rsid w:val="00EB36E4"/>
    <w:rsid w:val="00F53441"/>
    <w:rsid w:val="00F555AC"/>
    <w:rsid w:val="00F76688"/>
    <w:rsid w:val="00F84942"/>
    <w:rsid w:val="00F85ACB"/>
    <w:rsid w:val="00FE16A7"/>
    <w:rsid w:val="05D90B97"/>
    <w:rsid w:val="1763773F"/>
    <w:rsid w:val="19C06011"/>
    <w:rsid w:val="1B776431"/>
    <w:rsid w:val="1FF7E7C1"/>
    <w:rsid w:val="33EC0BD0"/>
    <w:rsid w:val="3F292448"/>
    <w:rsid w:val="3FAFEB61"/>
    <w:rsid w:val="4FDF1259"/>
    <w:rsid w:val="4FF43C9B"/>
    <w:rsid w:val="563D7BBB"/>
    <w:rsid w:val="5AFBF275"/>
    <w:rsid w:val="5CB47AA0"/>
    <w:rsid w:val="5CEF6E31"/>
    <w:rsid w:val="5FFDFF2E"/>
    <w:rsid w:val="61D785E4"/>
    <w:rsid w:val="65FD748F"/>
    <w:rsid w:val="67FF582C"/>
    <w:rsid w:val="7497E179"/>
    <w:rsid w:val="77DDC652"/>
    <w:rsid w:val="77DDCD26"/>
    <w:rsid w:val="77EFCB22"/>
    <w:rsid w:val="7B300D47"/>
    <w:rsid w:val="7BD79797"/>
    <w:rsid w:val="7CF39E18"/>
    <w:rsid w:val="7D77F92A"/>
    <w:rsid w:val="7EFD0D73"/>
    <w:rsid w:val="7FCF5F8E"/>
    <w:rsid w:val="7FFFE8F4"/>
    <w:rsid w:val="BE7B82B4"/>
    <w:rsid w:val="C7CE5C3D"/>
    <w:rsid w:val="D8D75D0D"/>
    <w:rsid w:val="DBBF7210"/>
    <w:rsid w:val="DED91A7B"/>
    <w:rsid w:val="DFE71D6F"/>
    <w:rsid w:val="EEFF35E4"/>
    <w:rsid w:val="EFEF6EE8"/>
    <w:rsid w:val="F3DF169E"/>
    <w:rsid w:val="F72DF2CC"/>
    <w:rsid w:val="F7EFE8E9"/>
    <w:rsid w:val="F9EE080B"/>
    <w:rsid w:val="FBFF1CBB"/>
    <w:rsid w:val="FDFE96B6"/>
    <w:rsid w:val="FF4E8EEF"/>
    <w:rsid w:val="FF5EFD4F"/>
    <w:rsid w:val="FF73C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99"/>
    <w:pPr>
      <w:widowControl w:val="0"/>
      <w:jc w:val="both"/>
    </w:pPr>
    <w:rPr>
      <w:rFonts w:ascii="Calibri" w:hAnsi="Calibri" w:eastAsia="宋体" w:cs="Times New Roman"/>
      <w:kern w:val="2"/>
      <w:sz w:val="21"/>
      <w:szCs w:val="24"/>
      <w:lang w:val="en-US" w:eastAsia="zh-CN" w:bidi="ar-SA"/>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qFormat/>
    <w:uiPriority w:val="99"/>
    <w:rPr>
      <w:rFonts w:ascii="Calibri" w:hAnsi="Calibri" w:eastAsia="宋体" w:cs="Times New Roman"/>
      <w:sz w:val="18"/>
      <w:szCs w:val="18"/>
    </w:rPr>
  </w:style>
  <w:style w:type="character" w:customStyle="1" w:styleId="11">
    <w:name w:val="页脚 Char"/>
    <w:basedOn w:val="9"/>
    <w:link w:val="4"/>
    <w:qFormat/>
    <w:uiPriority w:val="99"/>
    <w:rPr>
      <w:rFonts w:ascii="Calibri" w:hAnsi="Calibri" w:eastAsia="宋体" w:cs="Times New Roman"/>
      <w:sz w:val="18"/>
      <w:szCs w:val="18"/>
    </w:rPr>
  </w:style>
  <w:style w:type="character" w:customStyle="1" w:styleId="12">
    <w:name w:val="批注框文本 Char"/>
    <w:basedOn w:val="9"/>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321</Words>
  <Characters>1832</Characters>
  <Lines>15</Lines>
  <Paragraphs>4</Paragraphs>
  <TotalTime>45</TotalTime>
  <ScaleCrop>false</ScaleCrop>
  <LinksUpToDate>false</LinksUpToDate>
  <CharactersWithSpaces>2149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2019-11-28T11:02:00Z</dcterms:created>
  <dc:creator>乌海芝</dc:creator>
  <cp:lastModifiedBy>巨鹏</cp:lastModifiedBy>
  <cp:lastPrinted>2018-08-23T16:00:00Z</cp:lastPrinted>
  <dcterms:modified xsi:type="dcterms:W3CDTF">2026-08-05T14:55:47Z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0281970EF7DA4B2A8372320D38C7E3F3_13</vt:lpwstr>
  </property>
</Properties>
</file>