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600" w:lineRule="exact"/>
        <w:ind w:right="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pStyle w:val="20"/>
        <w:rPr>
          <w:rFonts w:hint="eastAsia"/>
          <w:lang w:val="en-US" w:eastAsia="zh-CN"/>
        </w:rPr>
      </w:pPr>
    </w:p>
    <w:p>
      <w:pPr>
        <w:pStyle w:val="19"/>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呼和浩特市中小企业数字化转型城市试点</w:t>
      </w:r>
    </w:p>
    <w:p>
      <w:pPr>
        <w:pStyle w:val="19"/>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数字化改造补贴申报指南</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为贯彻落实我市中小企业数字化转型城市试点战略部署，深化实施“改造一批、验收一批”推进机制，重点针对特色食品加工、纺织服装加工、生物医药制造、农矿专用设备制造、新材料制造、结构性金属制品制造等六大细分行业实施数字化改造，全面提升中小企业数字化水平。依据《呼和浩特市中小企业数字化转型城市试点工作专项资金管理细则》等文件精神，特制定本申报指南。</w:t>
      </w:r>
    </w:p>
    <w:p>
      <w:pPr>
        <w:keepNext/>
        <w:keepLines/>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outlineLvl w:val="1"/>
        <w:rPr>
          <w:rFonts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申报条件</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1.</w:t>
      </w:r>
      <w:r>
        <w:rPr>
          <w:rFonts w:hint="eastAsia" w:ascii="仿宋" w:hAnsi="仿宋" w:eastAsia="仿宋" w:cs="仿宋"/>
          <w:b w:val="0"/>
          <w:bCs w:val="0"/>
          <w:i w:val="0"/>
          <w:iCs w:val="0"/>
          <w:caps w:val="0"/>
          <w:color w:val="auto"/>
          <w:spacing w:val="0"/>
          <w:sz w:val="32"/>
          <w:szCs w:val="32"/>
          <w:highlight w:val="none"/>
          <w:shd w:val="clear"/>
          <w:lang w:val="en-US" w:eastAsia="zh-CN"/>
        </w:rPr>
        <w:t>申报企业须为在我市行政区域内注册，且</w:t>
      </w:r>
      <w:r>
        <w:rPr>
          <w:rFonts w:hint="eastAsia" w:ascii="仿宋" w:hAnsi="仿宋" w:cs="仿宋"/>
          <w:b w:val="0"/>
          <w:bCs w:val="0"/>
          <w:i w:val="0"/>
          <w:iCs w:val="0"/>
          <w:caps w:val="0"/>
          <w:color w:val="auto"/>
          <w:spacing w:val="0"/>
          <w:sz w:val="32"/>
          <w:szCs w:val="32"/>
          <w:highlight w:val="none"/>
          <w:shd w:val="clear"/>
          <w:lang w:val="en-US" w:eastAsia="zh-CN"/>
        </w:rPr>
        <w:t>属于六大细分行业</w:t>
      </w:r>
      <w:r>
        <w:rPr>
          <w:rFonts w:hint="eastAsia" w:ascii="仿宋" w:hAnsi="仿宋" w:eastAsia="仿宋" w:cs="仿宋"/>
          <w:b w:val="0"/>
          <w:bCs w:val="0"/>
          <w:i w:val="0"/>
          <w:iCs w:val="0"/>
          <w:caps w:val="0"/>
          <w:color w:val="auto"/>
          <w:spacing w:val="0"/>
          <w:sz w:val="32"/>
          <w:szCs w:val="32"/>
          <w:highlight w:val="none"/>
          <w:shd w:val="clear"/>
          <w:lang w:val="en-US" w:eastAsia="zh-CN"/>
        </w:rPr>
        <w:t>的中小企业。</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2.</w:t>
      </w:r>
      <w:r>
        <w:rPr>
          <w:rFonts w:hint="eastAsia" w:ascii="仿宋" w:hAnsi="仿宋" w:eastAsia="仿宋" w:cs="仿宋"/>
          <w:b w:val="0"/>
          <w:bCs w:val="0"/>
          <w:i w:val="0"/>
          <w:iCs w:val="0"/>
          <w:caps w:val="0"/>
          <w:color w:val="auto"/>
          <w:spacing w:val="0"/>
          <w:sz w:val="32"/>
          <w:szCs w:val="32"/>
          <w:highlight w:val="none"/>
          <w:shd w:val="clear"/>
          <w:lang w:val="en-US" w:eastAsia="zh-CN"/>
        </w:rPr>
        <w:t>申报项目投入核算期为2024年</w:t>
      </w:r>
      <w:r>
        <w:rPr>
          <w:rFonts w:hint="eastAsia" w:ascii="仿宋" w:hAnsi="仿宋" w:cs="仿宋"/>
          <w:b w:val="0"/>
          <w:bCs w:val="0"/>
          <w:i w:val="0"/>
          <w:iCs w:val="0"/>
          <w:caps w:val="0"/>
          <w:color w:val="auto"/>
          <w:spacing w:val="0"/>
          <w:sz w:val="32"/>
          <w:szCs w:val="32"/>
          <w:highlight w:val="none"/>
          <w:shd w:val="clear"/>
          <w:lang w:val="en-US" w:eastAsia="zh-CN"/>
        </w:rPr>
        <w:t>7</w:t>
      </w:r>
      <w:r>
        <w:rPr>
          <w:rFonts w:hint="eastAsia" w:ascii="仿宋" w:hAnsi="仿宋" w:eastAsia="仿宋" w:cs="仿宋"/>
          <w:b w:val="0"/>
          <w:bCs w:val="0"/>
          <w:i w:val="0"/>
          <w:iCs w:val="0"/>
          <w:caps w:val="0"/>
          <w:color w:val="auto"/>
          <w:spacing w:val="0"/>
          <w:sz w:val="32"/>
          <w:szCs w:val="32"/>
          <w:highlight w:val="none"/>
          <w:shd w:val="clear"/>
          <w:lang w:val="en-US" w:eastAsia="zh-CN"/>
        </w:rPr>
        <w:t>月1日（含）至项目申报截止日期。申报项目须在此期限内实施并完工，</w:t>
      </w:r>
      <w:r>
        <w:rPr>
          <w:rFonts w:hint="eastAsia" w:ascii="仿宋" w:hAnsi="仿宋" w:cs="仿宋"/>
          <w:b w:val="0"/>
          <w:bCs w:val="0"/>
          <w:i w:val="0"/>
          <w:iCs w:val="0"/>
          <w:caps w:val="0"/>
          <w:color w:val="auto"/>
          <w:spacing w:val="0"/>
          <w:sz w:val="32"/>
          <w:szCs w:val="32"/>
          <w:highlight w:val="none"/>
          <w:shd w:val="clear"/>
          <w:lang w:val="en-US" w:eastAsia="zh-CN"/>
        </w:rPr>
        <w:t>项目合同、发票等</w:t>
      </w:r>
      <w:r>
        <w:rPr>
          <w:rFonts w:hint="eastAsia" w:ascii="仿宋" w:hAnsi="仿宋" w:eastAsia="仿宋" w:cs="仿宋"/>
          <w:b w:val="0"/>
          <w:bCs w:val="0"/>
          <w:i w:val="0"/>
          <w:iCs w:val="0"/>
          <w:caps w:val="0"/>
          <w:color w:val="auto"/>
          <w:spacing w:val="0"/>
          <w:sz w:val="32"/>
          <w:szCs w:val="32"/>
          <w:highlight w:val="none"/>
          <w:shd w:val="clear"/>
          <w:lang w:val="en-US" w:eastAsia="zh-CN"/>
        </w:rPr>
        <w:t>开具日期须</w:t>
      </w:r>
      <w:r>
        <w:rPr>
          <w:rFonts w:hint="eastAsia" w:ascii="仿宋" w:hAnsi="仿宋" w:cs="仿宋"/>
          <w:b w:val="0"/>
          <w:bCs w:val="0"/>
          <w:i w:val="0"/>
          <w:iCs w:val="0"/>
          <w:caps w:val="0"/>
          <w:color w:val="auto"/>
          <w:spacing w:val="0"/>
          <w:sz w:val="32"/>
          <w:szCs w:val="32"/>
          <w:highlight w:val="none"/>
          <w:shd w:val="clear"/>
          <w:lang w:val="en-US" w:eastAsia="zh-CN"/>
        </w:rPr>
        <w:t>在</w:t>
      </w:r>
      <w:r>
        <w:rPr>
          <w:rFonts w:hint="eastAsia" w:ascii="仿宋" w:hAnsi="仿宋" w:eastAsia="仿宋" w:cs="仿宋"/>
          <w:b w:val="0"/>
          <w:bCs w:val="0"/>
          <w:i w:val="0"/>
          <w:iCs w:val="0"/>
          <w:caps w:val="0"/>
          <w:color w:val="auto"/>
          <w:spacing w:val="0"/>
          <w:sz w:val="32"/>
          <w:szCs w:val="32"/>
          <w:highlight w:val="none"/>
          <w:shd w:val="clear"/>
          <w:lang w:val="en-US" w:eastAsia="zh-CN"/>
        </w:rPr>
        <w:t>此期限内。</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cs="仿宋"/>
          <w:b w:val="0"/>
          <w:bCs w:val="0"/>
          <w:i w:val="0"/>
          <w:iCs w:val="0"/>
          <w:caps w:val="0"/>
          <w:color w:val="auto"/>
          <w:spacing w:val="0"/>
          <w:sz w:val="32"/>
          <w:szCs w:val="32"/>
          <w:highlight w:val="none"/>
          <w:shd w:val="clear"/>
          <w:lang w:val="en-US" w:eastAsia="zh-CN"/>
        </w:rPr>
        <w:t>3.</w:t>
      </w:r>
      <w:r>
        <w:rPr>
          <w:rFonts w:hint="eastAsia" w:ascii="仿宋" w:hAnsi="仿宋" w:eastAsia="仿宋" w:cs="仿宋"/>
          <w:b w:val="0"/>
          <w:bCs w:val="0"/>
          <w:i w:val="0"/>
          <w:iCs w:val="0"/>
          <w:caps w:val="0"/>
          <w:color w:val="auto"/>
          <w:spacing w:val="0"/>
          <w:sz w:val="32"/>
          <w:szCs w:val="32"/>
          <w:highlight w:val="none"/>
          <w:shd w:val="clear"/>
        </w:rPr>
        <w:t>申报企业未被列入经营异常名录或严重失信主体名单</w:t>
      </w:r>
      <w:r>
        <w:rPr>
          <w:rFonts w:hint="eastAsia" w:ascii="仿宋" w:hAnsi="仿宋" w:cs="仿宋"/>
          <w:b w:val="0"/>
          <w:bCs w:val="0"/>
          <w:i w:val="0"/>
          <w:iCs w:val="0"/>
          <w:caps w:val="0"/>
          <w:color w:val="auto"/>
          <w:spacing w:val="0"/>
          <w:sz w:val="32"/>
          <w:szCs w:val="32"/>
          <w:highlight w:val="none"/>
          <w:shd w:val="clear"/>
          <w:lang w:eastAsia="zh-CN"/>
        </w:rPr>
        <w:t>，</w:t>
      </w:r>
      <w:r>
        <w:rPr>
          <w:rFonts w:hint="eastAsia" w:ascii="仿宋" w:hAnsi="仿宋" w:eastAsia="仿宋" w:cs="仿宋"/>
          <w:b w:val="0"/>
          <w:bCs w:val="0"/>
          <w:i w:val="0"/>
          <w:iCs w:val="0"/>
          <w:caps w:val="0"/>
          <w:color w:val="auto"/>
          <w:spacing w:val="0"/>
          <w:sz w:val="32"/>
          <w:szCs w:val="32"/>
          <w:highlight w:val="none"/>
          <w:shd w:val="clear"/>
        </w:rPr>
        <w:t>提供的产品</w:t>
      </w:r>
      <w:r>
        <w:rPr>
          <w:rFonts w:hint="eastAsia" w:ascii="仿宋" w:hAnsi="仿宋" w:cs="仿宋"/>
          <w:b w:val="0"/>
          <w:bCs w:val="0"/>
          <w:i w:val="0"/>
          <w:iCs w:val="0"/>
          <w:caps w:val="0"/>
          <w:color w:val="auto"/>
          <w:spacing w:val="0"/>
          <w:sz w:val="32"/>
          <w:szCs w:val="32"/>
          <w:highlight w:val="none"/>
          <w:shd w:val="clear"/>
          <w:lang w:eastAsia="zh-CN"/>
        </w:rPr>
        <w:t>（</w:t>
      </w:r>
      <w:r>
        <w:rPr>
          <w:rFonts w:hint="eastAsia" w:ascii="仿宋" w:hAnsi="仿宋" w:eastAsia="仿宋" w:cs="仿宋"/>
          <w:b w:val="0"/>
          <w:bCs w:val="0"/>
          <w:i w:val="0"/>
          <w:iCs w:val="0"/>
          <w:caps w:val="0"/>
          <w:color w:val="auto"/>
          <w:spacing w:val="0"/>
          <w:sz w:val="32"/>
          <w:szCs w:val="32"/>
          <w:highlight w:val="none"/>
          <w:shd w:val="clear"/>
        </w:rPr>
        <w:t>服务</w:t>
      </w:r>
      <w:r>
        <w:rPr>
          <w:rFonts w:hint="eastAsia" w:ascii="仿宋" w:hAnsi="仿宋" w:cs="仿宋"/>
          <w:b w:val="0"/>
          <w:bCs w:val="0"/>
          <w:i w:val="0"/>
          <w:iCs w:val="0"/>
          <w:caps w:val="0"/>
          <w:color w:val="auto"/>
          <w:spacing w:val="0"/>
          <w:sz w:val="32"/>
          <w:szCs w:val="32"/>
          <w:highlight w:val="none"/>
          <w:shd w:val="clear"/>
          <w:lang w:eastAsia="zh-CN"/>
        </w:rPr>
        <w:t>）</w:t>
      </w:r>
      <w:r>
        <w:rPr>
          <w:rFonts w:hint="eastAsia" w:ascii="仿宋" w:hAnsi="仿宋" w:eastAsia="仿宋" w:cs="仿宋"/>
          <w:b w:val="0"/>
          <w:bCs w:val="0"/>
          <w:i w:val="0"/>
          <w:iCs w:val="0"/>
          <w:caps w:val="0"/>
          <w:color w:val="auto"/>
          <w:spacing w:val="0"/>
          <w:sz w:val="32"/>
          <w:szCs w:val="32"/>
          <w:highlight w:val="none"/>
          <w:shd w:val="clear"/>
        </w:rPr>
        <w:t>不属于国家禁止、限制或淘汰类，同时近三年未发生重大安全</w:t>
      </w:r>
      <w:r>
        <w:rPr>
          <w:rFonts w:hint="eastAsia" w:ascii="仿宋" w:hAnsi="仿宋" w:cs="仿宋"/>
          <w:b w:val="0"/>
          <w:bCs w:val="0"/>
          <w:i w:val="0"/>
          <w:iCs w:val="0"/>
          <w:caps w:val="0"/>
          <w:color w:val="auto"/>
          <w:spacing w:val="0"/>
          <w:sz w:val="32"/>
          <w:szCs w:val="32"/>
          <w:highlight w:val="none"/>
          <w:shd w:val="clear"/>
          <w:lang w:eastAsia="zh-CN"/>
        </w:rPr>
        <w:t>（</w:t>
      </w:r>
      <w:r>
        <w:rPr>
          <w:rFonts w:hint="eastAsia" w:ascii="仿宋" w:hAnsi="仿宋" w:eastAsia="仿宋" w:cs="仿宋"/>
          <w:b w:val="0"/>
          <w:bCs w:val="0"/>
          <w:i w:val="0"/>
          <w:iCs w:val="0"/>
          <w:caps w:val="0"/>
          <w:color w:val="auto"/>
          <w:spacing w:val="0"/>
          <w:sz w:val="32"/>
          <w:szCs w:val="32"/>
          <w:highlight w:val="none"/>
          <w:shd w:val="clear"/>
        </w:rPr>
        <w:t>含网络安全、数据安全</w:t>
      </w:r>
      <w:r>
        <w:rPr>
          <w:rFonts w:hint="eastAsia" w:ascii="仿宋" w:hAnsi="仿宋" w:cs="仿宋"/>
          <w:b w:val="0"/>
          <w:bCs w:val="0"/>
          <w:i w:val="0"/>
          <w:iCs w:val="0"/>
          <w:caps w:val="0"/>
          <w:color w:val="auto"/>
          <w:spacing w:val="0"/>
          <w:sz w:val="32"/>
          <w:szCs w:val="32"/>
          <w:highlight w:val="none"/>
          <w:shd w:val="clear"/>
          <w:lang w:eastAsia="zh-CN"/>
        </w:rPr>
        <w:t>）</w:t>
      </w:r>
      <w:r>
        <w:rPr>
          <w:rFonts w:hint="eastAsia" w:ascii="仿宋" w:hAnsi="仿宋" w:eastAsia="仿宋" w:cs="仿宋"/>
          <w:b w:val="0"/>
          <w:bCs w:val="0"/>
          <w:i w:val="0"/>
          <w:iCs w:val="0"/>
          <w:caps w:val="0"/>
          <w:color w:val="auto"/>
          <w:spacing w:val="0"/>
          <w:sz w:val="32"/>
          <w:szCs w:val="32"/>
          <w:highlight w:val="none"/>
          <w:shd w:val="clear"/>
        </w:rPr>
        <w:t>、质量、环境污染等事故以及偷漏税等违法违规行为。</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cs="仿宋"/>
          <w:b w:val="0"/>
          <w:bCs w:val="0"/>
          <w:i w:val="0"/>
          <w:iCs w:val="0"/>
          <w:caps w:val="0"/>
          <w:color w:val="auto"/>
          <w:spacing w:val="0"/>
          <w:sz w:val="32"/>
          <w:szCs w:val="32"/>
          <w:highlight w:val="none"/>
          <w:shd w:val="clear"/>
          <w:lang w:val="en-US" w:eastAsia="zh-CN"/>
        </w:rPr>
        <w:t>4.</w:t>
      </w:r>
      <w:r>
        <w:rPr>
          <w:rFonts w:hint="eastAsia" w:ascii="仿宋" w:hAnsi="仿宋" w:eastAsia="仿宋" w:cs="仿宋"/>
          <w:b w:val="0"/>
          <w:bCs w:val="0"/>
          <w:i w:val="0"/>
          <w:iCs w:val="0"/>
          <w:caps w:val="0"/>
          <w:color w:val="auto"/>
          <w:spacing w:val="0"/>
          <w:sz w:val="32"/>
          <w:szCs w:val="32"/>
          <w:highlight w:val="none"/>
          <w:shd w:val="clear"/>
        </w:rPr>
        <w:t>申报企业不属</w:t>
      </w:r>
      <w:bookmarkStart w:id="90" w:name="_GoBack"/>
      <w:bookmarkEnd w:id="90"/>
      <w:r>
        <w:rPr>
          <w:rFonts w:hint="eastAsia" w:ascii="仿宋" w:hAnsi="仿宋" w:eastAsia="仿宋" w:cs="仿宋"/>
          <w:b w:val="0"/>
          <w:bCs w:val="0"/>
          <w:i w:val="0"/>
          <w:iCs w:val="0"/>
          <w:caps w:val="0"/>
          <w:color w:val="auto"/>
          <w:spacing w:val="0"/>
          <w:sz w:val="32"/>
          <w:szCs w:val="32"/>
          <w:highlight w:val="none"/>
          <w:shd w:val="clear"/>
        </w:rPr>
        <w:t>于获得中央财政中小企业发展专项资金支持的专精特新“小巨人”企业。</w:t>
      </w:r>
    </w:p>
    <w:p>
      <w:pPr>
        <w:keepNext/>
        <w:keepLines/>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outlineLvl w:val="1"/>
        <w:rPr>
          <w:rFonts w:hint="eastAsia" w:ascii="Times New Roman" w:hAnsi="Times New Roman" w:eastAsia="黑体" w:cs="Times New Roman"/>
          <w:bCs/>
          <w:kern w:val="44"/>
          <w:sz w:val="32"/>
          <w:szCs w:val="44"/>
          <w:lang w:val="en-US" w:eastAsia="zh-CN" w:bidi="ar-SA"/>
        </w:rPr>
      </w:pPr>
      <w:r>
        <w:rPr>
          <w:rFonts w:hint="eastAsia" w:eastAsia="黑体" w:cs="Times New Roman"/>
          <w:bCs/>
          <w:kern w:val="44"/>
          <w:sz w:val="32"/>
          <w:szCs w:val="44"/>
          <w:lang w:val="en-US" w:eastAsia="zh-CN" w:bidi="ar-SA"/>
        </w:rPr>
        <w:t>补贴标准及范围</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对改造后数字化水平达到二级及以上水平的试点企业进行补贴</w:t>
      </w:r>
      <w:r>
        <w:rPr>
          <w:rFonts w:hint="eastAsia" w:ascii="仿宋" w:hAnsi="仿宋" w:cs="仿宋"/>
          <w:b w:val="0"/>
          <w:bCs w:val="0"/>
          <w:i w:val="0"/>
          <w:iCs w:val="0"/>
          <w:caps w:val="0"/>
          <w:color w:val="auto"/>
          <w:spacing w:val="0"/>
          <w:sz w:val="32"/>
          <w:szCs w:val="32"/>
          <w:highlight w:val="none"/>
          <w:shd w:val="clear"/>
          <w:lang w:val="en-US" w:eastAsia="zh-CN"/>
        </w:rPr>
        <w:t>，补贴方式为改造完成测评验收后付款，并采取一次性拨付方式。</w:t>
      </w:r>
      <w:r>
        <w:rPr>
          <w:rFonts w:hint="eastAsia" w:ascii="仿宋" w:hAnsi="仿宋" w:eastAsia="仿宋" w:cs="仿宋"/>
          <w:b w:val="0"/>
          <w:bCs w:val="0"/>
          <w:i w:val="0"/>
          <w:iCs w:val="0"/>
          <w:caps w:val="0"/>
          <w:color w:val="auto"/>
          <w:spacing w:val="0"/>
          <w:sz w:val="32"/>
          <w:szCs w:val="32"/>
          <w:highlight w:val="none"/>
          <w:shd w:val="clear"/>
          <w:lang w:val="en-US" w:eastAsia="zh-CN"/>
        </w:rPr>
        <w:t>其中，达到二级水平的企业按照改造投入的70%进行补贴，最高补贴35万元；达到三级水平的企业按照改造投入的50%进行补贴，最高补贴150万元；达到四级水平的企业按照改造投入的40%进行补贴，最高补贴300万元。</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补贴范围为企业在</w:t>
      </w:r>
      <w:r>
        <w:rPr>
          <w:rFonts w:hint="eastAsia" w:ascii="仿宋" w:hAnsi="仿宋" w:eastAsia="仿宋" w:cs="仿宋"/>
          <w:b w:val="0"/>
          <w:bCs w:val="0"/>
          <w:i w:val="0"/>
          <w:iCs w:val="0"/>
          <w:caps w:val="0"/>
          <w:color w:val="auto"/>
          <w:spacing w:val="0"/>
          <w:sz w:val="32"/>
          <w:szCs w:val="32"/>
          <w:highlight w:val="none"/>
          <w:shd w:val="clear"/>
          <w:lang w:val="en-US" w:eastAsia="zh-CN"/>
        </w:rPr>
        <w:t>开展数字化改造过程中，实际用于购买数字化水平诊断服务、数字化改造相关软件、信息化服务、网关、路由等必要的数据采集传输设备所支出的资金。</w:t>
      </w:r>
      <w:r>
        <w:rPr>
          <w:rFonts w:hint="eastAsia" w:ascii="仿宋" w:hAnsi="仿宋" w:cs="仿宋"/>
          <w:b w:val="0"/>
          <w:bCs w:val="0"/>
          <w:i w:val="0"/>
          <w:iCs w:val="0"/>
          <w:caps w:val="0"/>
          <w:color w:val="auto"/>
          <w:spacing w:val="0"/>
          <w:sz w:val="32"/>
          <w:szCs w:val="32"/>
          <w:highlight w:val="none"/>
          <w:shd w:val="clear"/>
          <w:lang w:val="en-US" w:eastAsia="zh-CN"/>
        </w:rPr>
        <w:t>其中：</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数字化诊断：集成服务商为试点企业提供的数字化诊断服务，最高不超过3万。</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数字化改造相关软件：包括但不限于企业资源计划（ERP）、客户关系管理（CRM）、供应链管理（SCM）、办公自动化（OA）等核心管理软件，以及数据分析、人工智能、物联网等前沿技术软件。</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信息化服务：企业为使用云服务而支付的费用，如云计算、云存储、云数据库等。</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数据采集传输设备</w:t>
      </w:r>
      <w:r>
        <w:rPr>
          <w:rFonts w:hint="eastAsia" w:ascii="仿宋" w:hAnsi="仿宋" w:cs="仿宋"/>
          <w:b w:val="0"/>
          <w:bCs w:val="0"/>
          <w:i w:val="0"/>
          <w:iCs w:val="0"/>
          <w:caps w:val="0"/>
          <w:color w:val="auto"/>
          <w:spacing w:val="0"/>
          <w:sz w:val="32"/>
          <w:szCs w:val="32"/>
          <w:highlight w:val="none"/>
          <w:shd w:val="clear"/>
          <w:lang w:val="en-US" w:eastAsia="zh-CN"/>
        </w:rPr>
        <w:t>：包括无线传感器、工业智能网关、PLC（可编程逻辑控制器）、数据采集器、嵌入式系统等，不包括电脑、打印机、闸机等。</w:t>
      </w:r>
    </w:p>
    <w:p>
      <w:pPr>
        <w:keepNext/>
        <w:keepLines/>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outlineLvl w:val="1"/>
        <w:rPr>
          <w:rFonts w:hint="eastAsia" w:eastAsia="黑体" w:cs="Times New Roman"/>
          <w:bCs/>
          <w:kern w:val="44"/>
          <w:sz w:val="32"/>
          <w:szCs w:val="44"/>
          <w:lang w:val="en-US" w:eastAsia="zh-CN" w:bidi="ar-SA"/>
        </w:rPr>
      </w:pPr>
      <w:r>
        <w:rPr>
          <w:rFonts w:hint="eastAsia" w:eastAsia="黑体" w:cs="Times New Roman"/>
          <w:bCs/>
          <w:kern w:val="44"/>
          <w:sz w:val="32"/>
          <w:szCs w:val="44"/>
          <w:lang w:val="en-US" w:eastAsia="zh-CN" w:bidi="ar-SA"/>
        </w:rPr>
        <w:t>申报材料</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yellow"/>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呼和浩特市中小企业数字化转型改造项目评测验收申请书</w:t>
      </w:r>
      <w:r>
        <w:rPr>
          <w:rFonts w:hint="eastAsia" w:ascii="仿宋" w:hAnsi="仿宋" w:cs="仿宋"/>
          <w:b w:val="0"/>
          <w:bCs w:val="0"/>
          <w:i w:val="0"/>
          <w:iCs w:val="0"/>
          <w:caps w:val="0"/>
          <w:color w:val="auto"/>
          <w:spacing w:val="0"/>
          <w:sz w:val="32"/>
          <w:szCs w:val="32"/>
          <w:highlight w:val="none"/>
          <w:shd w:val="clear"/>
          <w:lang w:val="en-US" w:eastAsia="zh-CN"/>
        </w:rPr>
        <w:t>（附件1）；</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中小企业数字化转型诊断报告</w:t>
      </w:r>
      <w:r>
        <w:rPr>
          <w:rFonts w:hint="eastAsia" w:ascii="仿宋" w:hAnsi="仿宋" w:cs="仿宋"/>
          <w:b w:val="0"/>
          <w:bCs w:val="0"/>
          <w:i w:val="0"/>
          <w:iCs w:val="0"/>
          <w:caps w:val="0"/>
          <w:color w:val="auto"/>
          <w:spacing w:val="0"/>
          <w:sz w:val="32"/>
          <w:szCs w:val="32"/>
          <w:highlight w:val="none"/>
          <w:shd w:val="clear"/>
          <w:lang w:val="en-US" w:eastAsia="zh-CN"/>
        </w:rPr>
        <w:t>；</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符合要求的改造服务合同</w:t>
      </w:r>
      <w:r>
        <w:rPr>
          <w:rFonts w:hint="eastAsia" w:ascii="仿宋" w:hAnsi="仿宋" w:cs="仿宋"/>
          <w:b w:val="0"/>
          <w:bCs w:val="0"/>
          <w:i w:val="0"/>
          <w:iCs w:val="0"/>
          <w:caps w:val="0"/>
          <w:color w:val="auto"/>
          <w:spacing w:val="0"/>
          <w:sz w:val="32"/>
          <w:szCs w:val="32"/>
          <w:highlight w:val="none"/>
          <w:shd w:val="clear"/>
          <w:lang w:val="en-US" w:eastAsia="zh-CN"/>
        </w:rPr>
        <w:t>；</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改造实施方案</w:t>
      </w:r>
      <w:r>
        <w:rPr>
          <w:rFonts w:hint="eastAsia" w:ascii="仿宋" w:hAnsi="仿宋" w:cs="仿宋"/>
          <w:b w:val="0"/>
          <w:bCs w:val="0"/>
          <w:i w:val="0"/>
          <w:iCs w:val="0"/>
          <w:caps w:val="0"/>
          <w:color w:val="auto"/>
          <w:spacing w:val="0"/>
          <w:sz w:val="32"/>
          <w:szCs w:val="32"/>
          <w:highlight w:val="none"/>
          <w:shd w:val="clear"/>
          <w:lang w:val="en-US" w:eastAsia="zh-CN"/>
        </w:rPr>
        <w:t>；</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试点企业项目改造总结报告</w:t>
      </w:r>
      <w:r>
        <w:rPr>
          <w:rFonts w:hint="eastAsia" w:ascii="仿宋" w:hAnsi="仿宋" w:cs="仿宋"/>
          <w:b w:val="0"/>
          <w:bCs w:val="0"/>
          <w:i w:val="0"/>
          <w:iCs w:val="0"/>
          <w:caps w:val="0"/>
          <w:color w:val="auto"/>
          <w:spacing w:val="0"/>
          <w:sz w:val="32"/>
          <w:szCs w:val="32"/>
          <w:highlight w:val="none"/>
          <w:shd w:val="clear"/>
          <w:lang w:val="en-US" w:eastAsia="zh-CN"/>
        </w:rPr>
        <w:t>（附件2）；</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试点企业改造后自评估报告</w:t>
      </w:r>
      <w:r>
        <w:rPr>
          <w:rFonts w:hint="eastAsia" w:ascii="仿宋" w:hAnsi="仿宋" w:cs="仿宋"/>
          <w:b w:val="0"/>
          <w:bCs w:val="0"/>
          <w:i w:val="0"/>
          <w:iCs w:val="0"/>
          <w:caps w:val="0"/>
          <w:color w:val="auto"/>
          <w:spacing w:val="0"/>
          <w:sz w:val="32"/>
          <w:szCs w:val="32"/>
          <w:highlight w:val="none"/>
          <w:shd w:val="clear"/>
          <w:lang w:val="en-US" w:eastAsia="zh-CN"/>
        </w:rPr>
        <w:t>（附件3）；</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项目已完成投资明细表、相关发票及凭证等（附件4）；</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其他佐证改造完成后数字化水平的材料（如数字化系统截图、运行界面照片等）</w:t>
      </w:r>
      <w:r>
        <w:rPr>
          <w:rFonts w:hint="eastAsia" w:ascii="仿宋" w:hAnsi="仿宋" w:cs="仿宋"/>
          <w:b w:val="0"/>
          <w:bCs w:val="0"/>
          <w:i w:val="0"/>
          <w:iCs w:val="0"/>
          <w:caps w:val="0"/>
          <w:color w:val="auto"/>
          <w:spacing w:val="0"/>
          <w:sz w:val="32"/>
          <w:szCs w:val="32"/>
          <w:highlight w:val="none"/>
          <w:shd w:val="clear"/>
          <w:lang w:val="en-US" w:eastAsia="zh-CN"/>
        </w:rPr>
        <w:t>；</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全流程监督报告</w:t>
      </w:r>
      <w:r>
        <w:rPr>
          <w:rFonts w:hint="eastAsia" w:ascii="仿宋" w:hAnsi="仿宋" w:cs="仿宋"/>
          <w:b w:val="0"/>
          <w:bCs w:val="0"/>
          <w:i w:val="0"/>
          <w:iCs w:val="0"/>
          <w:caps w:val="0"/>
          <w:color w:val="auto"/>
          <w:spacing w:val="0"/>
          <w:sz w:val="32"/>
          <w:szCs w:val="32"/>
          <w:highlight w:val="none"/>
          <w:shd w:val="clear"/>
          <w:lang w:val="en-US" w:eastAsia="zh-CN"/>
        </w:rPr>
        <w:t>。</w:t>
      </w:r>
    </w:p>
    <w:p>
      <w:pPr>
        <w:keepNext/>
        <w:keepLines/>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outlineLvl w:val="1"/>
        <w:rPr>
          <w:rFonts w:hint="eastAsia" w:eastAsia="黑体" w:cs="Times New Roman"/>
          <w:bCs/>
          <w:kern w:val="44"/>
          <w:sz w:val="32"/>
          <w:szCs w:val="44"/>
          <w:lang w:val="en-US" w:eastAsia="zh-CN" w:bidi="ar-SA"/>
        </w:rPr>
      </w:pPr>
      <w:r>
        <w:rPr>
          <w:rFonts w:hint="eastAsia" w:eastAsia="黑体" w:cs="Times New Roman"/>
          <w:bCs/>
          <w:kern w:val="44"/>
          <w:sz w:val="32"/>
          <w:szCs w:val="44"/>
          <w:lang w:val="en-US" w:eastAsia="zh-CN" w:bidi="ar-SA"/>
        </w:rPr>
        <w:t>评审流程</w:t>
      </w:r>
    </w:p>
    <w:p>
      <w:pPr>
        <w:pStyle w:val="11"/>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项目申报。市工业和信息化局印发通知，符合条件的企业按要求提交申报材料。</w:t>
      </w:r>
    </w:p>
    <w:p>
      <w:pPr>
        <w:pStyle w:val="11"/>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资格审查。按照相关文件规定，核查申报企业是否存在不予资助情况。</w:t>
      </w:r>
    </w:p>
    <w:p>
      <w:pPr>
        <w:pStyle w:val="11"/>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项目审核。市工业和信息化局根据项目情况组织专家或者委托第三方机构对申报项目进行审核，并核定项目投入情况。</w:t>
      </w:r>
    </w:p>
    <w:p>
      <w:pPr>
        <w:pStyle w:val="11"/>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社会公示。市工业和信息化局将通过审核的结果在“呼和浩特市数字化转型公共服务平台”向社会进行公示。</w:t>
      </w:r>
    </w:p>
    <w:p>
      <w:pPr>
        <w:pStyle w:val="11"/>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资金拨付。公示无异议或异议排除后，市工业和信息化局按照工作流程办理资金拨付。</w:t>
      </w:r>
    </w:p>
    <w:p>
      <w:pPr>
        <w:keepNext/>
        <w:keepLines/>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outlineLvl w:val="1"/>
        <w:rPr>
          <w:rFonts w:hint="eastAsia" w:eastAsia="黑体" w:cs="Times New Roman"/>
          <w:bCs/>
          <w:kern w:val="44"/>
          <w:sz w:val="32"/>
          <w:szCs w:val="44"/>
          <w:lang w:val="en-US" w:eastAsia="zh-CN" w:bidi="ar-SA"/>
        </w:rPr>
      </w:pPr>
      <w:r>
        <w:rPr>
          <w:rFonts w:hint="eastAsia" w:eastAsia="黑体" w:cs="Times New Roman"/>
          <w:bCs/>
          <w:kern w:val="44"/>
          <w:sz w:val="32"/>
          <w:szCs w:val="44"/>
          <w:lang w:val="en-US" w:eastAsia="zh-CN" w:bidi="ar-SA"/>
        </w:rPr>
        <w:t>核算指引</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项目投入纳入核算的范围为企业与经认定的</w:t>
      </w:r>
      <w:r>
        <w:rPr>
          <w:rFonts w:hint="eastAsia" w:ascii="仿宋" w:hAnsi="仿宋" w:cs="仿宋"/>
          <w:b w:val="0"/>
          <w:bCs w:val="0"/>
          <w:i w:val="0"/>
          <w:iCs w:val="0"/>
          <w:caps w:val="0"/>
          <w:color w:val="auto"/>
          <w:spacing w:val="0"/>
          <w:sz w:val="32"/>
          <w:szCs w:val="32"/>
          <w:highlight w:val="none"/>
          <w:shd w:val="clear"/>
          <w:lang w:val="en-US" w:eastAsia="zh-CN"/>
        </w:rPr>
        <w:t>数字化服务商</w:t>
      </w:r>
      <w:r>
        <w:rPr>
          <w:rFonts w:hint="eastAsia" w:ascii="仿宋" w:hAnsi="仿宋" w:eastAsia="仿宋" w:cs="仿宋"/>
          <w:b w:val="0"/>
          <w:bCs w:val="0"/>
          <w:i w:val="0"/>
          <w:iCs w:val="0"/>
          <w:caps w:val="0"/>
          <w:color w:val="auto"/>
          <w:spacing w:val="0"/>
          <w:sz w:val="32"/>
          <w:szCs w:val="32"/>
          <w:highlight w:val="none"/>
          <w:shd w:val="clear"/>
          <w:lang w:val="en-US" w:eastAsia="zh-CN"/>
        </w:rPr>
        <w:t>签订</w:t>
      </w:r>
      <w:r>
        <w:rPr>
          <w:rFonts w:hint="eastAsia" w:ascii="仿宋" w:hAnsi="仿宋" w:cs="仿宋"/>
          <w:b w:val="0"/>
          <w:bCs w:val="0"/>
          <w:i w:val="0"/>
          <w:iCs w:val="0"/>
          <w:caps w:val="0"/>
          <w:color w:val="auto"/>
          <w:spacing w:val="0"/>
          <w:sz w:val="32"/>
          <w:szCs w:val="32"/>
          <w:highlight w:val="none"/>
          <w:shd w:val="clear"/>
          <w:lang w:val="en-US" w:eastAsia="zh-CN"/>
        </w:rPr>
        <w:t>的数字化改造</w:t>
      </w:r>
      <w:r>
        <w:rPr>
          <w:rFonts w:hint="eastAsia" w:ascii="仿宋" w:hAnsi="仿宋" w:eastAsia="仿宋" w:cs="仿宋"/>
          <w:b w:val="0"/>
          <w:bCs w:val="0"/>
          <w:i w:val="0"/>
          <w:iCs w:val="0"/>
          <w:caps w:val="0"/>
          <w:color w:val="auto"/>
          <w:spacing w:val="0"/>
          <w:sz w:val="32"/>
          <w:szCs w:val="32"/>
          <w:highlight w:val="none"/>
          <w:shd w:val="clear"/>
          <w:lang w:val="en-US" w:eastAsia="zh-CN"/>
        </w:rPr>
        <w:t>合同。</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纳入项目投入核算的发票应与合同内容保持一致，并符合会计准则。根据合同</w:t>
      </w:r>
      <w:r>
        <w:rPr>
          <w:rFonts w:hint="eastAsia" w:ascii="仿宋" w:hAnsi="仿宋" w:cs="仿宋"/>
          <w:b w:val="0"/>
          <w:bCs w:val="0"/>
          <w:i w:val="0"/>
          <w:iCs w:val="0"/>
          <w:caps w:val="0"/>
          <w:color w:val="auto"/>
          <w:spacing w:val="0"/>
          <w:sz w:val="32"/>
          <w:szCs w:val="32"/>
          <w:highlight w:val="none"/>
          <w:shd w:val="clear"/>
          <w:lang w:val="en-US" w:eastAsia="zh-CN"/>
        </w:rPr>
        <w:t>中明细</w:t>
      </w:r>
      <w:r>
        <w:rPr>
          <w:rFonts w:hint="eastAsia" w:ascii="仿宋" w:hAnsi="仿宋" w:eastAsia="仿宋" w:cs="仿宋"/>
          <w:b w:val="0"/>
          <w:bCs w:val="0"/>
          <w:i w:val="0"/>
          <w:iCs w:val="0"/>
          <w:caps w:val="0"/>
          <w:color w:val="auto"/>
          <w:spacing w:val="0"/>
          <w:sz w:val="32"/>
          <w:szCs w:val="32"/>
          <w:highlight w:val="none"/>
          <w:shd w:val="clear"/>
          <w:lang w:val="en-US" w:eastAsia="zh-CN"/>
        </w:rPr>
        <w:t>对应税点开具发票。</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中小企业数字化改造项目中实施服务费用实际投入金额，最高不超过相应软件产品实际投入金额的15%，具体按实际部署产品核定。</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企业预付订阅式付费产品</w:t>
      </w:r>
      <w:r>
        <w:rPr>
          <w:rFonts w:hint="eastAsia" w:ascii="仿宋" w:hAnsi="仿宋" w:cs="仿宋"/>
          <w:b w:val="0"/>
          <w:bCs w:val="0"/>
          <w:i w:val="0"/>
          <w:iCs w:val="0"/>
          <w:caps w:val="0"/>
          <w:color w:val="auto"/>
          <w:spacing w:val="0"/>
          <w:sz w:val="32"/>
          <w:szCs w:val="32"/>
          <w:highlight w:val="none"/>
          <w:shd w:val="clear"/>
          <w:lang w:val="en-US" w:eastAsia="zh-CN"/>
        </w:rPr>
        <w:t>、运维服务</w:t>
      </w:r>
      <w:r>
        <w:rPr>
          <w:rFonts w:hint="eastAsia" w:ascii="仿宋" w:hAnsi="仿宋" w:eastAsia="仿宋" w:cs="仿宋"/>
          <w:b w:val="0"/>
          <w:bCs w:val="0"/>
          <w:i w:val="0"/>
          <w:iCs w:val="0"/>
          <w:caps w:val="0"/>
          <w:color w:val="auto"/>
          <w:spacing w:val="0"/>
          <w:sz w:val="32"/>
          <w:szCs w:val="32"/>
          <w:highlight w:val="none"/>
          <w:shd w:val="clear"/>
          <w:lang w:val="en-US" w:eastAsia="zh-CN"/>
        </w:rPr>
        <w:t>，从预付时间起算按最高不超过</w:t>
      </w:r>
      <w:r>
        <w:rPr>
          <w:rFonts w:hint="eastAsia" w:ascii="仿宋" w:hAnsi="仿宋" w:cs="仿宋"/>
          <w:b w:val="0"/>
          <w:bCs w:val="0"/>
          <w:i w:val="0"/>
          <w:iCs w:val="0"/>
          <w:caps w:val="0"/>
          <w:color w:val="auto"/>
          <w:spacing w:val="0"/>
          <w:sz w:val="32"/>
          <w:szCs w:val="32"/>
          <w:highlight w:val="none"/>
          <w:shd w:val="clear"/>
          <w:lang w:val="en-US" w:eastAsia="zh-CN"/>
        </w:rPr>
        <w:t>24</w:t>
      </w:r>
      <w:r>
        <w:rPr>
          <w:rFonts w:hint="eastAsia" w:ascii="仿宋" w:hAnsi="仿宋" w:eastAsia="仿宋" w:cs="仿宋"/>
          <w:b w:val="0"/>
          <w:bCs w:val="0"/>
          <w:i w:val="0"/>
          <w:iCs w:val="0"/>
          <w:caps w:val="0"/>
          <w:color w:val="auto"/>
          <w:spacing w:val="0"/>
          <w:sz w:val="32"/>
          <w:szCs w:val="32"/>
          <w:highlight w:val="none"/>
          <w:shd w:val="clear"/>
          <w:lang w:val="en-US" w:eastAsia="zh-CN"/>
        </w:rPr>
        <w:t>个月且</w:t>
      </w:r>
      <w:r>
        <w:rPr>
          <w:rFonts w:hint="eastAsia" w:ascii="仿宋" w:hAnsi="仿宋" w:cs="仿宋"/>
          <w:b w:val="0"/>
          <w:bCs w:val="0"/>
          <w:i w:val="0"/>
          <w:iCs w:val="0"/>
          <w:caps w:val="0"/>
          <w:color w:val="auto"/>
          <w:spacing w:val="0"/>
          <w:sz w:val="32"/>
          <w:szCs w:val="32"/>
          <w:highlight w:val="none"/>
          <w:shd w:val="clear"/>
          <w:lang w:val="en-US" w:eastAsia="zh-CN"/>
        </w:rPr>
        <w:t>在试点城市建设周期内</w:t>
      </w:r>
      <w:r>
        <w:rPr>
          <w:rFonts w:hint="eastAsia" w:ascii="仿宋" w:hAnsi="仿宋" w:eastAsia="仿宋" w:cs="仿宋"/>
          <w:b w:val="0"/>
          <w:bCs w:val="0"/>
          <w:i w:val="0"/>
          <w:iCs w:val="0"/>
          <w:caps w:val="0"/>
          <w:color w:val="auto"/>
          <w:spacing w:val="0"/>
          <w:sz w:val="32"/>
          <w:szCs w:val="32"/>
          <w:highlight w:val="none"/>
          <w:shd w:val="clear"/>
          <w:lang w:val="en-US" w:eastAsia="zh-CN"/>
        </w:rPr>
        <w:t>。</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发票、银行付款凭证等票据的交易双方须与合同交易双方保持一致。</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申报企业应规范项目资金支付管理，与项目有关的所有经费开支必须通过合同乙方的开户银行进行转账结算，否则不予纳入项目投资额的核算范围。</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使用银行承兑汇票方式支付的投入，软硬件销售方收到支票的时间应在项目投入核算期内，并且须提供背书流程以及收到汇票的收据，如委托签收的，还须提供授权委托书；必要时，通过函证形式进行确认。</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项目支出须提供发票联，抵扣联不予认可。</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审计时需提供项目支出相关的记账凭证及附件（原件）、支付款项银行回单。</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审计时项目投资会计核算形成无形资产和固定资产，诊断费用和实施服务用分摊到无形资产和固定资产价值中。</w:t>
      </w:r>
    </w:p>
    <w:p>
      <w:pPr>
        <w:pStyle w:val="11"/>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交易双方存在关联关系的情形，项目单位需提供佐证材料，对关联交易情况进行充分说明，包括与关联方发生产品服务交易的原因、价格公允性等，确保企业投入真实、奖补公平公正。</w:t>
      </w:r>
    </w:p>
    <w:p>
      <w:pPr>
        <w:keepNext/>
        <w:keepLines/>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both"/>
        <w:textAlignment w:val="auto"/>
        <w:outlineLvl w:val="1"/>
        <w:rPr>
          <w:rFonts w:hint="eastAsia" w:eastAsia="黑体" w:cs="Times New Roman"/>
          <w:bCs/>
          <w:kern w:val="44"/>
          <w:sz w:val="32"/>
          <w:szCs w:val="44"/>
          <w:lang w:val="en-US" w:eastAsia="zh-CN" w:bidi="ar-SA"/>
        </w:rPr>
      </w:pPr>
      <w:r>
        <w:rPr>
          <w:rFonts w:hint="eastAsia" w:eastAsia="黑体" w:cs="Times New Roman"/>
          <w:bCs/>
          <w:kern w:val="44"/>
          <w:sz w:val="32"/>
          <w:szCs w:val="44"/>
          <w:lang w:val="en-US" w:eastAsia="zh-CN" w:bidi="ar-SA"/>
        </w:rPr>
        <w:t>其他事项</w:t>
      </w:r>
    </w:p>
    <w:p>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申报主体对项目真实性、完整性负责，项目申报过程中如发现“骗补”“套补”</w:t>
      </w:r>
      <w:r>
        <w:rPr>
          <w:rFonts w:hint="eastAsia" w:ascii="Times New Roman" w:hAnsi="Times New Roman" w:eastAsia="仿宋_GB2312" w:cs="Times New Roman"/>
          <w:b w:val="0"/>
          <w:bCs w:val="0"/>
          <w:sz w:val="32"/>
          <w:szCs w:val="32"/>
          <w:highlight w:val="none"/>
          <w:lang w:val="en-US" w:eastAsia="zh-CN"/>
        </w:rPr>
        <w:t>“新瓶装旧酒”</w:t>
      </w:r>
      <w:r>
        <w:rPr>
          <w:rFonts w:hint="eastAsia" w:ascii="仿宋" w:hAnsi="仿宋" w:cs="仿宋"/>
          <w:b w:val="0"/>
          <w:bCs w:val="0"/>
          <w:i w:val="0"/>
          <w:iCs w:val="0"/>
          <w:caps w:val="0"/>
          <w:color w:val="auto"/>
          <w:spacing w:val="0"/>
          <w:sz w:val="32"/>
          <w:szCs w:val="32"/>
          <w:highlight w:val="none"/>
          <w:shd w:val="clear"/>
          <w:lang w:val="en-US" w:eastAsia="zh-CN"/>
        </w:rPr>
        <w:t>等问题，将依据规定严格追究相关单位责任。</w:t>
      </w:r>
    </w:p>
    <w:p>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项目申报材料在形式审查环节被退回的，申报单位须在</w:t>
      </w:r>
      <w:r>
        <w:rPr>
          <w:rFonts w:hint="eastAsia" w:ascii="仿宋" w:hAnsi="仿宋" w:cs="仿宋"/>
          <w:b w:val="0"/>
          <w:bCs w:val="0"/>
          <w:i w:val="0"/>
          <w:iCs w:val="0"/>
          <w:caps w:val="0"/>
          <w:color w:val="auto"/>
          <w:spacing w:val="0"/>
          <w:sz w:val="32"/>
          <w:szCs w:val="32"/>
          <w:highlight w:val="none"/>
          <w:shd w:val="clear"/>
          <w:lang w:val="en-US" w:eastAsia="zh-CN"/>
        </w:rPr>
        <w:t>规定时间内</w:t>
      </w:r>
      <w:r>
        <w:rPr>
          <w:rFonts w:hint="eastAsia" w:ascii="仿宋" w:hAnsi="仿宋" w:eastAsia="仿宋" w:cs="仿宋"/>
          <w:b w:val="0"/>
          <w:bCs w:val="0"/>
          <w:i w:val="0"/>
          <w:iCs w:val="0"/>
          <w:caps w:val="0"/>
          <w:color w:val="auto"/>
          <w:spacing w:val="0"/>
          <w:sz w:val="32"/>
          <w:szCs w:val="32"/>
          <w:highlight w:val="none"/>
          <w:shd w:val="clear"/>
          <w:lang w:val="en-US" w:eastAsia="zh-CN"/>
        </w:rPr>
        <w:t>按要求完成修改补充并重新提交，逾期按放弃申报处理。</w:t>
      </w:r>
    </w:p>
    <w:p>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default" w:ascii="仿宋" w:hAnsi="仿宋" w:cs="仿宋"/>
          <w:b w:val="0"/>
          <w:bCs w:val="0"/>
          <w:i w:val="0"/>
          <w:iCs w:val="0"/>
          <w:caps w:val="0"/>
          <w:color w:val="auto"/>
          <w:spacing w:val="0"/>
          <w:sz w:val="32"/>
          <w:szCs w:val="32"/>
          <w:highlight w:val="none"/>
          <w:shd w:val="clear"/>
          <w:lang w:val="en-US" w:eastAsia="zh-CN"/>
        </w:rPr>
        <w:t>采取常态化申报方式，上次评审未通过认定的，后续转型提升后可继续申报。</w:t>
      </w:r>
    </w:p>
    <w:p>
      <w:pPr>
        <w:jc w:val="both"/>
        <w:rPr>
          <w:rFonts w:hint="eastAsia" w:ascii="方正小标宋简体" w:hAnsi="方正小标宋简体" w:eastAsia="方正小标宋简体" w:cs="方正小标宋简体"/>
          <w:color w:val="auto"/>
          <w:sz w:val="36"/>
          <w:szCs w:val="44"/>
          <w:lang w:val="en-US" w:eastAsia="zh-CN"/>
        </w:rPr>
      </w:pPr>
    </w:p>
    <w:p>
      <w:pPr>
        <w:pStyle w:val="2"/>
        <w:jc w:val="both"/>
        <w:rPr>
          <w:rFonts w:hint="eastAsia"/>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1918" w:leftChars="228" w:right="0" w:rightChars="0" w:hanging="1280" w:hangingChars="400"/>
        <w:jc w:val="both"/>
        <w:textAlignment w:val="auto"/>
        <w:rPr>
          <w:rFonts w:hint="eastAsia" w:ascii="仿宋" w:hAnsi="仿宋" w:cs="仿宋"/>
          <w:b w:val="0"/>
          <w:bCs w:val="0"/>
          <w:i w:val="0"/>
          <w:iCs w:val="0"/>
          <w:caps w:val="0"/>
          <w:color w:val="auto"/>
          <w:spacing w:val="0"/>
          <w:sz w:val="32"/>
          <w:szCs w:val="32"/>
          <w:highlight w:val="none"/>
          <w:shd w:val="clear"/>
          <w:lang w:val="en-US" w:eastAsia="zh-CN"/>
        </w:rPr>
      </w:pPr>
      <w:r>
        <w:rPr>
          <w:rFonts w:hint="eastAsia" w:ascii="仿宋" w:hAnsi="仿宋" w:eastAsia="仿宋" w:cs="仿宋"/>
          <w:b w:val="0"/>
          <w:bCs w:val="0"/>
          <w:i w:val="0"/>
          <w:iCs w:val="0"/>
          <w:caps w:val="0"/>
          <w:color w:val="auto"/>
          <w:spacing w:val="0"/>
          <w:sz w:val="32"/>
          <w:szCs w:val="32"/>
          <w:highlight w:val="none"/>
          <w:shd w:val="clear"/>
          <w:lang w:val="en-US" w:eastAsia="zh-CN"/>
        </w:rPr>
        <w:t>附件：</w:t>
      </w:r>
      <w:r>
        <w:rPr>
          <w:rFonts w:hint="eastAsia" w:ascii="仿宋" w:hAnsi="仿宋" w:cs="仿宋"/>
          <w:b w:val="0"/>
          <w:bCs w:val="0"/>
          <w:i w:val="0"/>
          <w:iCs w:val="0"/>
          <w:caps w:val="0"/>
          <w:color w:val="auto"/>
          <w:spacing w:val="0"/>
          <w:sz w:val="32"/>
          <w:szCs w:val="32"/>
          <w:highlight w:val="none"/>
          <w:shd w:val="clear"/>
          <w:lang w:val="en-US" w:eastAsia="zh-CN"/>
        </w:rPr>
        <w:t>1.1</w:t>
      </w:r>
      <w:r>
        <w:rPr>
          <w:rFonts w:hint="eastAsia" w:ascii="仿宋" w:hAnsi="仿宋" w:eastAsia="仿宋" w:cs="仿宋"/>
          <w:b w:val="0"/>
          <w:bCs w:val="0"/>
          <w:i w:val="0"/>
          <w:iCs w:val="0"/>
          <w:caps w:val="0"/>
          <w:color w:val="auto"/>
          <w:spacing w:val="0"/>
          <w:sz w:val="32"/>
          <w:szCs w:val="32"/>
          <w:highlight w:val="none"/>
          <w:shd w:val="clear"/>
          <w:lang w:val="en-US" w:eastAsia="zh-CN"/>
        </w:rPr>
        <w:t>呼和浩特市中小企业数字化转型改造项目评测验收申请书</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1280" w:firstLineChars="400"/>
        <w:jc w:val="both"/>
        <w:textAlignment w:val="auto"/>
        <w:rPr>
          <w:rFonts w:hint="eastAsia"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1.2中小企业数字化转型试点项目改造总结报告</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1280" w:firstLineChars="400"/>
        <w:jc w:val="both"/>
        <w:textAlignment w:val="auto"/>
        <w:rPr>
          <w:rFonts w:hint="eastAsia"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1.3企业改造后数字化水平自评估报告</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1280" w:firstLineChars="400"/>
        <w:jc w:val="both"/>
        <w:textAlignment w:val="auto"/>
        <w:rPr>
          <w:rFonts w:hint="default" w:ascii="仿宋" w:hAnsi="仿宋" w:cs="仿宋"/>
          <w:b w:val="0"/>
          <w:bCs w:val="0"/>
          <w:i w:val="0"/>
          <w:iCs w:val="0"/>
          <w:caps w:val="0"/>
          <w:color w:val="auto"/>
          <w:spacing w:val="0"/>
          <w:sz w:val="32"/>
          <w:szCs w:val="32"/>
          <w:highlight w:val="none"/>
          <w:shd w:val="clear"/>
          <w:lang w:val="en-US" w:eastAsia="zh-CN"/>
        </w:rPr>
      </w:pPr>
      <w:r>
        <w:rPr>
          <w:rFonts w:hint="eastAsia" w:ascii="仿宋" w:hAnsi="仿宋" w:cs="仿宋"/>
          <w:b w:val="0"/>
          <w:bCs w:val="0"/>
          <w:i w:val="0"/>
          <w:iCs w:val="0"/>
          <w:caps w:val="0"/>
          <w:color w:val="auto"/>
          <w:spacing w:val="0"/>
          <w:sz w:val="32"/>
          <w:szCs w:val="32"/>
          <w:highlight w:val="none"/>
          <w:shd w:val="clear"/>
          <w:lang w:val="en-US" w:eastAsia="zh-CN"/>
        </w:rPr>
        <w:t>1.4项目已完成投资明细表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b w:val="0"/>
          <w:bCs w:val="0"/>
          <w:i w:val="0"/>
          <w:iCs w:val="0"/>
          <w:caps w:val="0"/>
          <w:color w:val="auto"/>
          <w:spacing w:val="0"/>
          <w:sz w:val="32"/>
          <w:szCs w:val="32"/>
          <w:highlight w:val="none"/>
          <w:shd w:val="clear"/>
          <w:lang w:val="en-US" w:eastAsia="zh-CN"/>
        </w:rPr>
      </w:pPr>
    </w:p>
    <w:p>
      <w:pPr>
        <w:jc w:val="both"/>
        <w:rPr>
          <w:rFonts w:hint="default" w:ascii="仿宋" w:hAnsi="仿宋" w:eastAsia="仿宋" w:cs="仿宋"/>
          <w:b w:val="0"/>
          <w:bCs w:val="0"/>
          <w:i w:val="0"/>
          <w:iCs w:val="0"/>
          <w:caps w:val="0"/>
          <w:color w:val="auto"/>
          <w:spacing w:val="0"/>
          <w:sz w:val="32"/>
          <w:szCs w:val="32"/>
          <w:highlight w:val="none"/>
          <w:shd w:val="clear"/>
          <w:lang w:val="en-US" w:eastAsia="zh-CN"/>
        </w:rPr>
      </w:pPr>
      <w:r>
        <w:rPr>
          <w:rFonts w:hint="default" w:ascii="仿宋" w:hAnsi="仿宋" w:eastAsia="仿宋" w:cs="仿宋"/>
          <w:b w:val="0"/>
          <w:bCs w:val="0"/>
          <w:i w:val="0"/>
          <w:iCs w:val="0"/>
          <w:caps w:val="0"/>
          <w:color w:val="auto"/>
          <w:spacing w:val="0"/>
          <w:sz w:val="32"/>
          <w:szCs w:val="32"/>
          <w:highlight w:val="none"/>
          <w:shd w:val="clear"/>
          <w:lang w:val="en-US" w:eastAsia="zh-CN"/>
        </w:rPr>
        <w:br w:type="page"/>
      </w:r>
    </w:p>
    <w:p>
      <w:pPr>
        <w:keepNext/>
        <w:keepLines/>
        <w:pageBreakBefore w:val="0"/>
        <w:widowControl w:val="0"/>
        <w:numPr>
          <w:ilvl w:val="0"/>
          <w:numId w:val="0"/>
        </w:numPr>
        <w:kinsoku/>
        <w:wordWrap/>
        <w:overflowPunct/>
        <w:topLinePunct w:val="0"/>
        <w:autoSpaceDE/>
        <w:autoSpaceDN/>
        <w:bidi w:val="0"/>
        <w:adjustRightInd/>
        <w:snapToGrid/>
        <w:spacing w:line="579" w:lineRule="exact"/>
        <w:jc w:val="both"/>
        <w:textAlignment w:val="auto"/>
        <w:outlineLvl w:val="1"/>
        <w:rPr>
          <w:rFonts w:hint="eastAsia" w:ascii="方正黑体_GBK" w:hAnsi="方正黑体_GBK" w:eastAsia="方正黑体_GBK" w:cs="方正黑体_GBK"/>
          <w:bCs/>
          <w:kern w:val="44"/>
          <w:sz w:val="32"/>
          <w:szCs w:val="44"/>
          <w:lang w:val="en-US" w:eastAsia="zh-CN" w:bidi="ar-SA"/>
        </w:rPr>
      </w:pPr>
      <w:r>
        <w:rPr>
          <w:rFonts w:hint="eastAsia" w:ascii="方正黑体_GBK" w:hAnsi="方正黑体_GBK" w:eastAsia="方正黑体_GBK" w:cs="方正黑体_GBK"/>
          <w:bCs/>
          <w:kern w:val="44"/>
          <w:sz w:val="32"/>
          <w:szCs w:val="44"/>
          <w:lang w:val="en-US" w:eastAsia="zh-CN" w:bidi="ar-SA"/>
        </w:rPr>
        <w:t>附件1.1</w:t>
      </w:r>
    </w:p>
    <w:p>
      <w:pPr>
        <w:keepNext w:val="0"/>
        <w:keepLines w:val="0"/>
        <w:pageBreakBefore w:val="0"/>
        <w:widowControl w:val="0"/>
        <w:kinsoku/>
        <w:wordWrap/>
        <w:overflowPunct/>
        <w:topLinePunct w:val="0"/>
        <w:autoSpaceDE/>
        <w:autoSpaceDN/>
        <w:bidi w:val="0"/>
        <w:adjustRightInd/>
        <w:snapToGrid/>
        <w:spacing w:before="400" w:after="120" w:line="36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呼和浩特市中小企业数字化转型改造项目</w:t>
      </w:r>
    </w:p>
    <w:p>
      <w:pPr>
        <w:keepNext w:val="0"/>
        <w:keepLines w:val="0"/>
        <w:pageBreakBefore w:val="0"/>
        <w:widowControl w:val="0"/>
        <w:kinsoku/>
        <w:wordWrap/>
        <w:overflowPunct/>
        <w:topLinePunct w:val="0"/>
        <w:autoSpaceDE/>
        <w:autoSpaceDN/>
        <w:bidi w:val="0"/>
        <w:adjustRightInd/>
        <w:snapToGrid/>
        <w:spacing w:before="400" w:after="120" w:line="36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评测验收申请书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1" w:right="0" w:firstLine="360"/>
        <w:jc w:val="both"/>
        <w:rPr>
          <w:rFonts w:ascii="楷体_GB2312" w:hAnsi="微软雅黑" w:eastAsia="楷体_GB2312" w:cs="楷体_GB2312"/>
          <w:i w:val="0"/>
          <w:iCs w:val="0"/>
          <w:caps w:val="0"/>
          <w:color w:val="333333"/>
          <w:spacing w:val="0"/>
          <w:sz w:val="36"/>
          <w:szCs w:val="36"/>
          <w:highlight w:val="none"/>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1" w:right="0" w:firstLine="360"/>
        <w:jc w:val="both"/>
        <w:rPr>
          <w:rFonts w:ascii="楷体_GB2312" w:hAnsi="微软雅黑" w:eastAsia="楷体_GB2312" w:cs="楷体_GB2312"/>
          <w:i w:val="0"/>
          <w:iCs w:val="0"/>
          <w:caps w:val="0"/>
          <w:color w:val="333333"/>
          <w:spacing w:val="0"/>
          <w:sz w:val="36"/>
          <w:szCs w:val="36"/>
          <w:highlight w:val="none"/>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1" w:right="0" w:firstLine="360"/>
        <w:jc w:val="both"/>
        <w:rPr>
          <w:rFonts w:ascii="楷体_GB2312" w:hAnsi="微软雅黑" w:eastAsia="楷体_GB2312" w:cs="楷体_GB2312"/>
          <w:i w:val="0"/>
          <w:iCs w:val="0"/>
          <w:caps w:val="0"/>
          <w:color w:val="333333"/>
          <w:spacing w:val="0"/>
          <w:sz w:val="36"/>
          <w:szCs w:val="36"/>
          <w:highlight w:val="none"/>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1" w:right="0" w:firstLine="360"/>
        <w:jc w:val="both"/>
        <w:rPr>
          <w:rFonts w:hint="eastAsia" w:ascii="仿宋_GB2312" w:hAnsi="仿宋_GB2312" w:eastAsia="仿宋_GB2312" w:cs="仿宋_GB2312"/>
          <w:i w:val="0"/>
          <w:iCs w:val="0"/>
          <w:caps w:val="0"/>
          <w:color w:val="333333"/>
          <w:spacing w:val="0"/>
          <w:sz w:val="36"/>
          <w:szCs w:val="36"/>
          <w:highlight w:val="none"/>
        </w:rPr>
      </w:pPr>
      <w:r>
        <w:rPr>
          <w:rFonts w:hint="eastAsia" w:ascii="仿宋_GB2312" w:hAnsi="仿宋_GB2312" w:eastAsia="仿宋_GB2312" w:cs="仿宋_GB2312"/>
          <w:i w:val="0"/>
          <w:iCs w:val="0"/>
          <w:caps w:val="0"/>
          <w:color w:val="333333"/>
          <w:spacing w:val="0"/>
          <w:sz w:val="36"/>
          <w:szCs w:val="36"/>
          <w:highlight w:val="none"/>
          <w:shd w:val="clear" w:color="auto" w:fill="FFFFFF"/>
        </w:rPr>
        <w:t>项目名称：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1" w:right="0" w:firstLine="360"/>
        <w:jc w:val="both"/>
        <w:rPr>
          <w:rFonts w:hint="eastAsia" w:ascii="仿宋_GB2312" w:hAnsi="仿宋_GB2312" w:eastAsia="仿宋_GB2312" w:cs="仿宋_GB2312"/>
          <w:i w:val="0"/>
          <w:iCs w:val="0"/>
          <w:caps w:val="0"/>
          <w:color w:val="333333"/>
          <w:spacing w:val="0"/>
          <w:sz w:val="36"/>
          <w:szCs w:val="36"/>
          <w:highlight w:val="none"/>
        </w:rPr>
      </w:pPr>
      <w:r>
        <w:rPr>
          <w:rFonts w:hint="eastAsia" w:ascii="仿宋_GB2312" w:hAnsi="仿宋_GB2312" w:eastAsia="仿宋_GB2312" w:cs="仿宋_GB2312"/>
          <w:i w:val="0"/>
          <w:iCs w:val="0"/>
          <w:caps w:val="0"/>
          <w:color w:val="333333"/>
          <w:spacing w:val="0"/>
          <w:sz w:val="36"/>
          <w:szCs w:val="36"/>
          <w:highlight w:val="none"/>
          <w:shd w:val="clear" w:color="auto" w:fill="FFFFFF"/>
        </w:rPr>
        <w:t>所属行业：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1" w:right="0" w:firstLine="360"/>
        <w:jc w:val="both"/>
        <w:rPr>
          <w:rFonts w:hint="eastAsia" w:ascii="仿宋_GB2312" w:hAnsi="仿宋_GB2312" w:eastAsia="仿宋_GB2312" w:cs="仿宋_GB2312"/>
          <w:i w:val="0"/>
          <w:iCs w:val="0"/>
          <w:caps w:val="0"/>
          <w:color w:val="333333"/>
          <w:spacing w:val="0"/>
          <w:sz w:val="36"/>
          <w:szCs w:val="36"/>
          <w:highlight w:val="none"/>
        </w:rPr>
      </w:pPr>
      <w:r>
        <w:rPr>
          <w:rFonts w:hint="eastAsia" w:ascii="仿宋_GB2312" w:hAnsi="仿宋_GB2312" w:eastAsia="仿宋_GB2312" w:cs="仿宋_GB2312"/>
          <w:i w:val="0"/>
          <w:iCs w:val="0"/>
          <w:caps w:val="0"/>
          <w:color w:val="333333"/>
          <w:spacing w:val="0"/>
          <w:sz w:val="36"/>
          <w:szCs w:val="36"/>
          <w:highlight w:val="none"/>
          <w:shd w:val="clear" w:color="auto" w:fill="FFFFFF"/>
        </w:rPr>
        <w:t>项目单位：（试点企业盖章）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16"/>
          <w:szCs w:val="16"/>
          <w:highlight w:val="none"/>
          <w:lang w:eastAsia="zh-CN"/>
        </w:rPr>
      </w:pPr>
      <w:r>
        <w:rPr>
          <w:rFonts w:hint="eastAsia" w:ascii="仿宋_GB2312" w:hAnsi="仿宋_GB2312" w:eastAsia="仿宋_GB2312" w:cs="仿宋_GB2312"/>
          <w:i w:val="0"/>
          <w:iCs w:val="0"/>
          <w:caps w:val="0"/>
          <w:color w:val="333333"/>
          <w:spacing w:val="0"/>
          <w:sz w:val="16"/>
          <w:szCs w:val="16"/>
          <w:highlight w:val="none"/>
          <w:shd w:val="clear" w:color="auto" w:fill="FFFFFF"/>
          <w:lang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16"/>
          <w:szCs w:val="16"/>
          <w:highlight w:val="none"/>
          <w:shd w:val="clear" w:color="auto" w:fill="FFFFFF"/>
          <w:lang w:eastAsia="zh-CN"/>
        </w:rPr>
      </w:pPr>
      <w:r>
        <w:rPr>
          <w:rFonts w:hint="eastAsia" w:ascii="仿宋_GB2312" w:hAnsi="仿宋_GB2312" w:eastAsia="仿宋_GB2312" w:cs="仿宋_GB2312"/>
          <w:i w:val="0"/>
          <w:iCs w:val="0"/>
          <w:caps w:val="0"/>
          <w:color w:val="333333"/>
          <w:spacing w:val="0"/>
          <w:sz w:val="16"/>
          <w:szCs w:val="16"/>
          <w:highlight w:val="none"/>
          <w:shd w:val="clear" w:color="auto" w:fill="FFFFFF"/>
          <w:lang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16"/>
          <w:szCs w:val="16"/>
          <w:highlight w:val="none"/>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16"/>
          <w:szCs w:val="16"/>
          <w:highlight w:val="none"/>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16"/>
          <w:szCs w:val="16"/>
          <w:highlight w:val="none"/>
          <w:lang w:eastAsia="zh-CN"/>
        </w:rPr>
      </w:pPr>
      <w:r>
        <w:rPr>
          <w:rFonts w:hint="eastAsia" w:ascii="仿宋_GB2312" w:hAnsi="仿宋_GB2312" w:eastAsia="仿宋_GB2312" w:cs="仿宋_GB2312"/>
          <w:i w:val="0"/>
          <w:iCs w:val="0"/>
          <w:caps w:val="0"/>
          <w:color w:val="333333"/>
          <w:spacing w:val="0"/>
          <w:sz w:val="16"/>
          <w:szCs w:val="16"/>
          <w:highlight w:val="none"/>
          <w:shd w:val="clear" w:color="auto" w:fill="FFFFFF"/>
          <w:lang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6"/>
          <w:szCs w:val="36"/>
          <w:highlight w:val="none"/>
        </w:rPr>
      </w:pPr>
      <w:r>
        <w:rPr>
          <w:rFonts w:hint="eastAsia" w:ascii="仿宋_GB2312" w:hAnsi="仿宋_GB2312" w:eastAsia="仿宋_GB2312" w:cs="仿宋_GB2312"/>
          <w:i w:val="0"/>
          <w:iCs w:val="0"/>
          <w:caps w:val="0"/>
          <w:color w:val="333333"/>
          <w:spacing w:val="0"/>
          <w:sz w:val="36"/>
          <w:szCs w:val="36"/>
          <w:highlight w:val="none"/>
          <w:shd w:val="clear" w:color="auto" w:fill="FFFFFF"/>
        </w:rPr>
        <w:t>申请日期：</w:t>
      </w:r>
      <w:r>
        <w:rPr>
          <w:rFonts w:hint="eastAsia" w:ascii="仿宋_GB2312" w:hAnsi="仿宋_GB2312" w:eastAsia="仿宋_GB2312" w:cs="仿宋_GB2312"/>
          <w:i w:val="0"/>
          <w:iCs w:val="0"/>
          <w:caps w:val="0"/>
          <w:color w:val="333333"/>
          <w:spacing w:val="0"/>
          <w:sz w:val="36"/>
          <w:szCs w:val="36"/>
          <w:highlight w:val="none"/>
          <w:shd w:val="clear" w:color="auto" w:fill="FFFFFF"/>
          <w:lang w:eastAsia="zh-CN"/>
        </w:rPr>
        <w:t xml:space="preserve">   </w:t>
      </w:r>
      <w:r>
        <w:rPr>
          <w:rFonts w:hint="eastAsia" w:ascii="仿宋_GB2312" w:hAnsi="仿宋_GB2312" w:eastAsia="仿宋_GB2312" w:cs="仿宋_GB2312"/>
          <w:i w:val="0"/>
          <w:iCs w:val="0"/>
          <w:caps w:val="0"/>
          <w:color w:val="333333"/>
          <w:spacing w:val="0"/>
          <w:sz w:val="36"/>
          <w:szCs w:val="36"/>
          <w:highlight w:val="none"/>
          <w:shd w:val="clear" w:color="auto" w:fill="FFFFFF"/>
        </w:rPr>
        <w:t>年</w:t>
      </w:r>
      <w:r>
        <w:rPr>
          <w:rFonts w:hint="eastAsia" w:ascii="仿宋_GB2312" w:hAnsi="仿宋_GB2312" w:eastAsia="仿宋_GB2312" w:cs="仿宋_GB2312"/>
          <w:i w:val="0"/>
          <w:iCs w:val="0"/>
          <w:caps w:val="0"/>
          <w:color w:val="333333"/>
          <w:spacing w:val="0"/>
          <w:sz w:val="36"/>
          <w:szCs w:val="36"/>
          <w:highlight w:val="none"/>
          <w:shd w:val="clear" w:color="auto" w:fill="FFFFFF"/>
          <w:lang w:eastAsia="zh-CN"/>
        </w:rPr>
        <w:t xml:space="preserve">  </w:t>
      </w:r>
      <w:r>
        <w:rPr>
          <w:rFonts w:hint="eastAsia" w:ascii="仿宋_GB2312" w:hAnsi="仿宋_GB2312" w:eastAsia="仿宋_GB2312" w:cs="仿宋_GB2312"/>
          <w:i w:val="0"/>
          <w:iCs w:val="0"/>
          <w:caps w:val="0"/>
          <w:color w:val="333333"/>
          <w:spacing w:val="0"/>
          <w:sz w:val="36"/>
          <w:szCs w:val="36"/>
          <w:highlight w:val="none"/>
          <w:shd w:val="clear" w:color="auto" w:fill="FFFFFF"/>
        </w:rPr>
        <w:t>月</w:t>
      </w:r>
      <w:r>
        <w:rPr>
          <w:rFonts w:hint="eastAsia" w:ascii="仿宋_GB2312" w:hAnsi="仿宋_GB2312" w:eastAsia="仿宋_GB2312" w:cs="仿宋_GB2312"/>
          <w:i w:val="0"/>
          <w:iCs w:val="0"/>
          <w:caps w:val="0"/>
          <w:color w:val="333333"/>
          <w:spacing w:val="0"/>
          <w:sz w:val="36"/>
          <w:szCs w:val="36"/>
          <w:highlight w:val="none"/>
          <w:shd w:val="clear" w:color="auto" w:fill="FFFFFF"/>
          <w:lang w:eastAsia="zh-CN"/>
        </w:rPr>
        <w:t xml:space="preserve">  </w:t>
      </w:r>
      <w:r>
        <w:rPr>
          <w:rFonts w:hint="eastAsia" w:ascii="仿宋_GB2312" w:hAnsi="仿宋_GB2312" w:eastAsia="仿宋_GB2312" w:cs="仿宋_GB2312"/>
          <w:i w:val="0"/>
          <w:iCs w:val="0"/>
          <w:caps w:val="0"/>
          <w:color w:val="333333"/>
          <w:spacing w:val="0"/>
          <w:sz w:val="36"/>
          <w:szCs w:val="36"/>
          <w:highlight w:val="none"/>
          <w:shd w:val="clear" w:color="auto" w:fill="FFFFFF"/>
        </w:rPr>
        <w:t>日</w:t>
      </w:r>
    </w:p>
    <w:p>
      <w:pPr>
        <w:bidi w:val="0"/>
        <w:jc w:val="both"/>
        <w:rPr>
          <w:rFonts w:hint="default"/>
          <w:lang w:val="en-US" w:eastAsia="zh-CN"/>
        </w:rPr>
      </w:pPr>
    </w:p>
    <w:p>
      <w:pPr>
        <w:bidi w:val="0"/>
        <w:jc w:val="both"/>
        <w:rPr>
          <w:rFonts w:hint="eastAsia"/>
          <w:lang w:val="en-US" w:eastAsia="zh-CN"/>
        </w:rPr>
      </w:pPr>
    </w:p>
    <w:p>
      <w:pPr>
        <w:numPr>
          <w:ilvl w:val="0"/>
          <w:numId w:val="0"/>
        </w:numPr>
        <w:shd w:val="clear"/>
        <w:ind w:leftChars="0"/>
        <w:jc w:val="both"/>
        <w:rPr>
          <w:rFonts w:hint="eastAsia" w:ascii="仿宋_GB2312" w:hAnsi="仿宋_GB2312" w:eastAsia="仿宋_GB2312" w:cs="仿宋_GB2312"/>
          <w:b/>
          <w:bCs/>
          <w:i w:val="0"/>
          <w:iCs w:val="0"/>
          <w:color w:val="000000"/>
          <w:kern w:val="0"/>
          <w:sz w:val="44"/>
          <w:szCs w:val="44"/>
          <w:highlight w:val="none"/>
          <w:u w:val="none"/>
          <w:lang w:val="en-US" w:eastAsia="zh-CN" w:bidi="ar"/>
        </w:rPr>
        <w:sectPr>
          <w:footerReference r:id="rId3" w:type="default"/>
          <w:pgSz w:w="11906" w:h="16838"/>
          <w:pgMar w:top="2098" w:right="1531" w:bottom="1361" w:left="1531" w:header="851" w:footer="992" w:gutter="0"/>
          <w:pgNumType w:fmt="decimal" w:start="1"/>
          <w:cols w:space="720" w:num="1"/>
          <w:docGrid w:type="lines" w:linePitch="312" w:charSpace="0"/>
        </w:sectPr>
      </w:pPr>
    </w:p>
    <w:p>
      <w:pPr>
        <w:numPr>
          <w:ilvl w:val="-1"/>
          <w:numId w:val="0"/>
        </w:numPr>
        <w:jc w:val="both"/>
        <w:rPr>
          <w:rFonts w:hint="eastAsia"/>
          <w:lang w:val="en-US" w:eastAsia="zh-CN"/>
        </w:rPr>
      </w:pPr>
      <w:r>
        <w:rPr>
          <w:rFonts w:hint="eastAsia" w:ascii="黑体" w:hAnsi="宋体" w:eastAsia="黑体" w:cs="黑体"/>
          <w:i w:val="0"/>
          <w:iCs w:val="0"/>
          <w:caps w:val="0"/>
          <w:color w:val="333333"/>
          <w:spacing w:val="0"/>
          <w:sz w:val="32"/>
          <w:szCs w:val="32"/>
          <w:highlight w:val="none"/>
          <w:shd w:val="clear" w:color="auto" w:fill="FFFFFF"/>
          <w:lang w:val="en-US" w:eastAsia="zh-CN"/>
        </w:rPr>
        <w:t>一、呼和浩特市中小企业数字化转型改造项目评测验收申请书</w:t>
      </w:r>
    </w:p>
    <w:p>
      <w:pPr>
        <w:pStyle w:val="7"/>
        <w:numPr>
          <w:ilvl w:val="0"/>
          <w:numId w:val="8"/>
        </w:numPr>
        <w:jc w:val="both"/>
        <w:rPr>
          <w:rFonts w:hint="eastAsia"/>
          <w:lang w:val="en-US" w:eastAsia="zh-CN"/>
        </w:rPr>
      </w:pPr>
      <w:r>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t>申请企业基本信息</w:t>
      </w:r>
    </w:p>
    <w:tbl>
      <w:tblPr>
        <w:tblStyle w:val="1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552"/>
        <w:gridCol w:w="509"/>
        <w:gridCol w:w="10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2391"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企业名称</w:t>
            </w:r>
          </w:p>
        </w:tc>
        <w:tc>
          <w:tcPr>
            <w:tcW w:w="5954" w:type="dxa"/>
            <w:gridSpan w:val="4"/>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391"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spacing w:val="0"/>
                <w:w w:val="100"/>
                <w:kern w:val="0"/>
                <w:sz w:val="24"/>
                <w:szCs w:val="24"/>
                <w:highlight w:val="none"/>
                <w:u w:val="none"/>
                <w:lang w:bidi="ar"/>
              </w:rPr>
              <w:t>统一社会信用代码</w:t>
            </w:r>
          </w:p>
        </w:tc>
        <w:tc>
          <w:tcPr>
            <w:tcW w:w="2552"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c>
          <w:tcPr>
            <w:tcW w:w="1559" w:type="dxa"/>
            <w:gridSpan w:val="2"/>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法人代表</w:t>
            </w:r>
          </w:p>
        </w:tc>
        <w:tc>
          <w:tcPr>
            <w:tcW w:w="1843" w:type="dxa"/>
            <w:vAlign w:val="center"/>
          </w:tcPr>
          <w:p>
            <w:pPr>
              <w:pStyle w:val="5"/>
              <w:spacing w:line="240" w:lineRule="auto"/>
              <w:ind w:firstLine="0" w:firstLineChars="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91"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通讯地址</w:t>
            </w:r>
          </w:p>
        </w:tc>
        <w:tc>
          <w:tcPr>
            <w:tcW w:w="5954" w:type="dxa"/>
            <w:gridSpan w:val="4"/>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2391"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联系人</w:t>
            </w:r>
          </w:p>
        </w:tc>
        <w:tc>
          <w:tcPr>
            <w:tcW w:w="2552" w:type="dxa"/>
            <w:tcBorders>
              <w:bottom w:val="single" w:color="auto" w:sz="4" w:space="0"/>
            </w:tcBorders>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c>
          <w:tcPr>
            <w:tcW w:w="1559" w:type="dxa"/>
            <w:gridSpan w:val="2"/>
            <w:tcBorders>
              <w:bottom w:val="single" w:color="auto" w:sz="4" w:space="0"/>
            </w:tcBorders>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联系方式</w:t>
            </w:r>
          </w:p>
        </w:tc>
        <w:tc>
          <w:tcPr>
            <w:tcW w:w="1843" w:type="dxa"/>
            <w:tcBorders>
              <w:bottom w:val="single" w:color="auto" w:sz="4" w:space="0"/>
            </w:tcBorders>
            <w:vAlign w:val="center"/>
          </w:tcPr>
          <w:p>
            <w:pPr>
              <w:pStyle w:val="5"/>
              <w:spacing w:line="240" w:lineRule="auto"/>
              <w:ind w:firstLine="0" w:firstLineChars="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exact"/>
          <w:jc w:val="center"/>
        </w:trPr>
        <w:tc>
          <w:tcPr>
            <w:tcW w:w="2391" w:type="dxa"/>
            <w:tcBorders>
              <w:right w:val="single" w:color="auto" w:sz="4" w:space="0"/>
            </w:tcBorders>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所属细分行业</w:t>
            </w:r>
          </w:p>
        </w:tc>
        <w:tc>
          <w:tcPr>
            <w:tcW w:w="3061" w:type="dxa"/>
            <w:gridSpan w:val="2"/>
            <w:tcBorders>
              <w:top w:val="single" w:color="auto" w:sz="4" w:space="0"/>
              <w:left w:val="single" w:color="auto" w:sz="4" w:space="0"/>
              <w:bottom w:val="single" w:color="auto" w:sz="4" w:space="0"/>
              <w:right w:val="nil"/>
            </w:tcBorders>
            <w:vAlign w:val="center"/>
          </w:tcPr>
          <w:p>
            <w:pPr>
              <w:numPr>
                <w:ilvl w:val="0"/>
                <w:numId w:val="0"/>
              </w:numPr>
              <w:shd w:val="clear"/>
              <w:ind w:leftChars="0"/>
              <w:jc w:val="both"/>
              <w:rPr>
                <w:rFonts w:hint="eastAsia" w:ascii="仿宋_GB2312" w:hAnsi="仿宋_GB2312" w:eastAsia="仿宋_GB2312" w:cs="仿宋_GB2312"/>
                <w:bCs w:val="0"/>
                <w:snapToGrid/>
                <w:color w:val="000000"/>
                <w:kern w:val="0"/>
                <w:sz w:val="24"/>
                <w:szCs w:val="24"/>
                <w:highlight w:val="none"/>
                <w:u w:val="none"/>
                <w:lang w:val="en-US" w:eastAsia="zh-CN" w:bidi="ar"/>
              </w:rPr>
            </w:pPr>
            <w:r>
              <w:rPr>
                <w:rFonts w:hint="eastAsia" w:ascii="仿宋_GB2312" w:hAnsi="仿宋_GB2312" w:eastAsia="仿宋_GB2312" w:cs="仿宋_GB2312"/>
                <w:bCs w:val="0"/>
                <w:snapToGrid/>
                <w:color w:val="000000"/>
                <w:kern w:val="0"/>
                <w:sz w:val="24"/>
                <w:szCs w:val="24"/>
                <w:highlight w:val="none"/>
                <w:u w:val="none"/>
                <w:lang w:val="en-US" w:eastAsia="zh-CN" w:bidi="ar"/>
              </w:rPr>
              <w:sym w:font="Wingdings 2" w:char="00A3"/>
            </w:r>
            <w:r>
              <w:rPr>
                <w:rFonts w:hint="eastAsia" w:ascii="仿宋_GB2312" w:hAnsi="仿宋_GB2312" w:eastAsia="仿宋_GB2312" w:cs="仿宋_GB2312"/>
                <w:bCs w:val="0"/>
                <w:snapToGrid/>
                <w:color w:val="000000"/>
                <w:kern w:val="0"/>
                <w:sz w:val="24"/>
                <w:szCs w:val="24"/>
                <w:highlight w:val="none"/>
                <w:u w:val="none"/>
                <w:lang w:val="en-US" w:eastAsia="zh-CN" w:bidi="ar"/>
              </w:rPr>
              <w:t>特色食品加工业</w:t>
            </w:r>
          </w:p>
          <w:p>
            <w:pPr>
              <w:numPr>
                <w:ilvl w:val="0"/>
                <w:numId w:val="0"/>
              </w:numPr>
              <w:shd w:val="clear"/>
              <w:ind w:leftChars="0"/>
              <w:jc w:val="both"/>
              <w:rPr>
                <w:rFonts w:hint="eastAsia" w:ascii="仿宋_GB2312" w:hAnsi="仿宋_GB2312" w:eastAsia="仿宋_GB2312" w:cs="仿宋_GB2312"/>
                <w:bCs w:val="0"/>
                <w:snapToGrid/>
                <w:color w:val="000000"/>
                <w:kern w:val="0"/>
                <w:sz w:val="24"/>
                <w:szCs w:val="24"/>
                <w:highlight w:val="none"/>
                <w:u w:val="none"/>
                <w:lang w:val="en-US" w:eastAsia="zh-CN" w:bidi="ar"/>
              </w:rPr>
            </w:pPr>
            <w:r>
              <w:rPr>
                <w:rFonts w:hint="eastAsia" w:ascii="仿宋_GB2312" w:hAnsi="仿宋_GB2312" w:eastAsia="仿宋_GB2312" w:cs="仿宋_GB2312"/>
                <w:bCs w:val="0"/>
                <w:snapToGrid/>
                <w:color w:val="000000"/>
                <w:kern w:val="0"/>
                <w:sz w:val="24"/>
                <w:szCs w:val="24"/>
                <w:highlight w:val="none"/>
                <w:u w:val="none"/>
                <w:lang w:val="en-US" w:eastAsia="zh-CN" w:bidi="ar"/>
              </w:rPr>
              <w:sym w:font="Wingdings 2" w:char="00A3"/>
            </w:r>
            <w:r>
              <w:rPr>
                <w:rFonts w:hint="eastAsia" w:ascii="仿宋_GB2312" w:hAnsi="仿宋_GB2312" w:eastAsia="仿宋_GB2312" w:cs="仿宋_GB2312"/>
                <w:bCs w:val="0"/>
                <w:snapToGrid/>
                <w:color w:val="000000"/>
                <w:kern w:val="0"/>
                <w:sz w:val="24"/>
                <w:szCs w:val="24"/>
                <w:highlight w:val="none"/>
                <w:u w:val="none"/>
                <w:lang w:val="en-US" w:eastAsia="zh-CN" w:bidi="ar"/>
              </w:rPr>
              <w:t>纺织服装加工业</w:t>
            </w:r>
          </w:p>
          <w:p>
            <w:pPr>
              <w:numPr>
                <w:ilvl w:val="0"/>
                <w:numId w:val="0"/>
              </w:numPr>
              <w:shd w:val="clear"/>
              <w:ind w:leftChars="0"/>
              <w:jc w:val="both"/>
              <w:rPr>
                <w:rFonts w:hint="eastAsia" w:ascii="仿宋_GB2312" w:hAnsi="仿宋_GB2312" w:eastAsia="仿宋_GB2312" w:cs="仿宋_GB2312"/>
                <w:bCs w:val="0"/>
                <w:snapToGrid/>
                <w:color w:val="000000"/>
                <w:kern w:val="0"/>
                <w:sz w:val="24"/>
                <w:szCs w:val="24"/>
                <w:highlight w:val="none"/>
                <w:u w:val="none"/>
                <w:lang w:val="en-US" w:eastAsia="zh-CN" w:bidi="ar"/>
              </w:rPr>
            </w:pPr>
            <w:r>
              <w:rPr>
                <w:rFonts w:hint="eastAsia" w:ascii="仿宋_GB2312" w:hAnsi="仿宋_GB2312" w:eastAsia="仿宋_GB2312" w:cs="仿宋_GB2312"/>
                <w:bCs w:val="0"/>
                <w:snapToGrid/>
                <w:color w:val="000000"/>
                <w:kern w:val="0"/>
                <w:sz w:val="24"/>
                <w:szCs w:val="24"/>
                <w:highlight w:val="none"/>
                <w:u w:val="none"/>
                <w:lang w:val="en-US" w:eastAsia="zh-CN" w:bidi="ar"/>
              </w:rPr>
              <w:sym w:font="Wingdings 2" w:char="00A3"/>
            </w:r>
            <w:r>
              <w:rPr>
                <w:rFonts w:hint="eastAsia" w:ascii="仿宋_GB2312" w:hAnsi="仿宋_GB2312" w:eastAsia="仿宋_GB2312" w:cs="仿宋_GB2312"/>
                <w:bCs w:val="0"/>
                <w:snapToGrid/>
                <w:color w:val="000000"/>
                <w:kern w:val="0"/>
                <w:sz w:val="24"/>
                <w:szCs w:val="24"/>
                <w:highlight w:val="none"/>
                <w:u w:val="none"/>
                <w:lang w:val="en-US" w:eastAsia="zh-CN" w:bidi="ar"/>
              </w:rPr>
              <w:t>生物医药制造业</w:t>
            </w:r>
          </w:p>
          <w:p>
            <w:pPr>
              <w:numPr>
                <w:ilvl w:val="0"/>
                <w:numId w:val="0"/>
              </w:numPr>
              <w:shd w:val="clear"/>
              <w:ind w:leftChars="0"/>
              <w:jc w:val="both"/>
              <w:rPr>
                <w:rFonts w:hint="eastAsia" w:ascii="仿宋_GB2312" w:hAnsi="仿宋_GB2312" w:eastAsia="仿宋_GB2312" w:cs="仿宋_GB2312"/>
                <w:bCs w:val="0"/>
                <w:snapToGrid/>
                <w:color w:val="000000"/>
                <w:kern w:val="0"/>
                <w:sz w:val="24"/>
                <w:szCs w:val="24"/>
                <w:highlight w:val="none"/>
                <w:u w:val="none"/>
                <w:lang w:val="en-US" w:eastAsia="zh-CN" w:bidi="ar"/>
              </w:rPr>
            </w:pPr>
            <w:r>
              <w:rPr>
                <w:rFonts w:hint="eastAsia" w:ascii="仿宋_GB2312" w:hAnsi="仿宋_GB2312" w:eastAsia="仿宋_GB2312" w:cs="仿宋_GB2312"/>
                <w:bCs w:val="0"/>
                <w:snapToGrid/>
                <w:color w:val="000000"/>
                <w:kern w:val="0"/>
                <w:sz w:val="24"/>
                <w:szCs w:val="24"/>
                <w:highlight w:val="none"/>
                <w:u w:val="none"/>
                <w:lang w:val="en-US" w:eastAsia="zh-CN" w:bidi="ar"/>
              </w:rPr>
              <w:sym w:font="Wingdings 2" w:char="00A3"/>
            </w:r>
            <w:r>
              <w:rPr>
                <w:rFonts w:hint="eastAsia" w:ascii="仿宋_GB2312" w:hAnsi="仿宋_GB2312" w:eastAsia="仿宋_GB2312" w:cs="仿宋_GB2312"/>
                <w:bCs w:val="0"/>
                <w:snapToGrid/>
                <w:color w:val="000000"/>
                <w:kern w:val="0"/>
                <w:sz w:val="24"/>
                <w:szCs w:val="24"/>
                <w:highlight w:val="none"/>
                <w:u w:val="none"/>
                <w:lang w:val="en-US" w:eastAsia="zh-CN" w:bidi="ar"/>
              </w:rPr>
              <w:t>农矿专用设备制造业</w:t>
            </w:r>
          </w:p>
          <w:p>
            <w:pPr>
              <w:numPr>
                <w:ilvl w:val="0"/>
                <w:numId w:val="0"/>
              </w:numPr>
              <w:shd w:val="clear"/>
              <w:ind w:leftChars="0"/>
              <w:jc w:val="both"/>
              <w:rPr>
                <w:rFonts w:hint="eastAsia" w:ascii="仿宋_GB2312" w:hAnsi="仿宋_GB2312" w:eastAsia="仿宋_GB2312" w:cs="仿宋_GB2312"/>
                <w:bCs w:val="0"/>
                <w:snapToGrid/>
                <w:color w:val="000000"/>
                <w:kern w:val="0"/>
                <w:sz w:val="24"/>
                <w:szCs w:val="24"/>
                <w:highlight w:val="none"/>
                <w:u w:val="none"/>
                <w:lang w:val="en-US" w:eastAsia="zh-CN" w:bidi="ar"/>
              </w:rPr>
            </w:pPr>
            <w:r>
              <w:rPr>
                <w:rFonts w:hint="eastAsia" w:ascii="仿宋_GB2312" w:hAnsi="仿宋_GB2312" w:eastAsia="仿宋_GB2312" w:cs="仿宋_GB2312"/>
                <w:bCs w:val="0"/>
                <w:snapToGrid/>
                <w:color w:val="000000"/>
                <w:kern w:val="0"/>
                <w:sz w:val="24"/>
                <w:szCs w:val="24"/>
                <w:highlight w:val="none"/>
                <w:u w:val="none"/>
                <w:lang w:val="en-US" w:eastAsia="zh-CN" w:bidi="ar"/>
              </w:rPr>
              <w:sym w:font="Wingdings 2" w:char="00A3"/>
            </w:r>
            <w:r>
              <w:rPr>
                <w:rFonts w:hint="eastAsia" w:ascii="仿宋_GB2312" w:hAnsi="仿宋_GB2312" w:eastAsia="仿宋_GB2312" w:cs="仿宋_GB2312"/>
                <w:bCs w:val="0"/>
                <w:snapToGrid/>
                <w:color w:val="000000"/>
                <w:kern w:val="0"/>
                <w:sz w:val="24"/>
                <w:szCs w:val="24"/>
                <w:highlight w:val="none"/>
                <w:u w:val="none"/>
                <w:lang w:val="en-US" w:eastAsia="zh-CN" w:bidi="ar"/>
              </w:rPr>
              <w:t>结构性金属制品制造业</w:t>
            </w:r>
          </w:p>
          <w:p>
            <w:pPr>
              <w:numPr>
                <w:ilvl w:val="0"/>
                <w:numId w:val="0"/>
              </w:numPr>
              <w:shd w:val="clear"/>
              <w:ind w:leftChars="0"/>
              <w:jc w:val="both"/>
              <w:rPr>
                <w:rFonts w:hint="eastAsia" w:ascii="仿宋_GB2312" w:hAnsi="仿宋_GB2312" w:eastAsia="仿宋_GB2312" w:cs="仿宋_GB2312"/>
                <w:bCs w:val="0"/>
                <w:snapToGrid/>
                <w:color w:val="000000"/>
                <w:kern w:val="0"/>
                <w:sz w:val="24"/>
                <w:szCs w:val="24"/>
                <w:highlight w:val="none"/>
                <w:u w:val="none"/>
                <w:lang w:val="en-US" w:eastAsia="zh-CN" w:bidi="ar"/>
              </w:rPr>
            </w:pPr>
            <w:r>
              <w:rPr>
                <w:rFonts w:hint="eastAsia" w:ascii="仿宋_GB2312" w:hAnsi="仿宋_GB2312" w:eastAsia="仿宋_GB2312" w:cs="仿宋_GB2312"/>
                <w:bCs w:val="0"/>
                <w:snapToGrid/>
                <w:color w:val="000000"/>
                <w:kern w:val="0"/>
                <w:sz w:val="24"/>
                <w:szCs w:val="24"/>
                <w:highlight w:val="none"/>
                <w:u w:val="none"/>
                <w:lang w:val="en-US" w:eastAsia="zh-CN" w:bidi="ar"/>
              </w:rPr>
              <w:sym w:font="Wingdings 2" w:char="00A3"/>
            </w:r>
            <w:r>
              <w:rPr>
                <w:rFonts w:hint="eastAsia" w:ascii="仿宋_GB2312" w:hAnsi="仿宋_GB2312" w:eastAsia="仿宋_GB2312" w:cs="仿宋_GB2312"/>
                <w:bCs w:val="0"/>
                <w:snapToGrid/>
                <w:color w:val="000000"/>
                <w:kern w:val="0"/>
                <w:sz w:val="24"/>
                <w:szCs w:val="24"/>
                <w:highlight w:val="none"/>
                <w:u w:val="none"/>
                <w:lang w:val="en-US" w:eastAsia="zh-CN" w:bidi="ar"/>
              </w:rPr>
              <w:t>新材料制造业</w:t>
            </w:r>
          </w:p>
          <w:p>
            <w:pPr>
              <w:pStyle w:val="5"/>
              <w:tabs>
                <w:tab w:val="left" w:pos="3014"/>
              </w:tabs>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c>
          <w:tcPr>
            <w:tcW w:w="2893" w:type="dxa"/>
            <w:gridSpan w:val="2"/>
            <w:tcBorders>
              <w:top w:val="single" w:color="auto" w:sz="4" w:space="0"/>
              <w:left w:val="nil"/>
              <w:bottom w:val="single" w:color="auto" w:sz="4" w:space="0"/>
              <w:right w:val="single" w:color="auto" w:sz="4" w:space="0"/>
            </w:tcBorders>
            <w:vAlign w:val="center"/>
          </w:tcPr>
          <w:p>
            <w:pPr>
              <w:pStyle w:val="5"/>
              <w:tabs>
                <w:tab w:val="left" w:pos="3014"/>
              </w:tabs>
              <w:spacing w:line="240" w:lineRule="auto"/>
              <w:ind w:firstLine="0" w:firstLineChars="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2391" w:type="dxa"/>
            <w:tcBorders>
              <w:right w:val="single" w:color="auto" w:sz="4" w:space="0"/>
            </w:tcBorders>
            <w:vAlign w:val="center"/>
          </w:tcPr>
          <w:p>
            <w:pPr>
              <w:keepNext w:val="0"/>
              <w:keepLines w:val="0"/>
              <w:widowControl/>
              <w:suppressLineNumbers w:val="0"/>
              <w:shd w:val="clear"/>
              <w:jc w:val="both"/>
              <w:textAlignment w:val="center"/>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优质中小企业情况</w:t>
            </w:r>
          </w:p>
        </w:tc>
        <w:tc>
          <w:tcPr>
            <w:tcW w:w="3061" w:type="dxa"/>
            <w:gridSpan w:val="2"/>
            <w:tcBorders>
              <w:top w:val="single" w:color="auto" w:sz="4" w:space="0"/>
              <w:left w:val="single" w:color="auto" w:sz="4" w:space="0"/>
              <w:bottom w:val="single" w:color="auto" w:sz="4" w:space="0"/>
              <w:right w:val="nil"/>
            </w:tcBorders>
            <w:vAlign w:val="center"/>
          </w:tcPr>
          <w:p>
            <w:pPr>
              <w:keepNext w:val="0"/>
              <w:keepLines w:val="0"/>
              <w:pageBreakBefore w:val="0"/>
              <w:widowControl w:val="0"/>
              <w:shd w:val="clear"/>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000000"/>
                <w:kern w:val="0"/>
                <w:sz w:val="21"/>
                <w:szCs w:val="21"/>
                <w:highlight w:val="none"/>
              </w:rPr>
              <w:t>□</w:t>
            </w:r>
            <w:r>
              <w:rPr>
                <w:rFonts w:hint="eastAsia" w:ascii="仿宋_GB2312" w:hAnsi="仿宋_GB2312" w:eastAsia="仿宋_GB2312" w:cs="仿宋_GB2312"/>
                <w:color w:val="auto"/>
                <w:sz w:val="21"/>
                <w:szCs w:val="21"/>
                <w:highlight w:val="none"/>
              </w:rPr>
              <w:t>无</w:t>
            </w:r>
          </w:p>
          <w:p>
            <w:pPr>
              <w:keepNext w:val="0"/>
              <w:keepLines w:val="0"/>
              <w:pageBreakBefore w:val="0"/>
              <w:widowControl w:val="0"/>
              <w:shd w:val="clear"/>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000000"/>
                <w:kern w:val="0"/>
                <w:sz w:val="21"/>
                <w:szCs w:val="21"/>
                <w:highlight w:val="none"/>
              </w:rPr>
              <w:t>□</w:t>
            </w:r>
            <w:r>
              <w:rPr>
                <w:rFonts w:hint="eastAsia" w:ascii="仿宋_GB2312" w:hAnsi="仿宋_GB2312" w:eastAsia="仿宋_GB2312" w:cs="仿宋_GB2312"/>
                <w:color w:val="auto"/>
                <w:sz w:val="21"/>
                <w:szCs w:val="21"/>
                <w:highlight w:val="none"/>
              </w:rPr>
              <w:t>创新型中小企业</w:t>
            </w:r>
          </w:p>
          <w:p>
            <w:pPr>
              <w:keepNext w:val="0"/>
              <w:keepLines w:val="0"/>
              <w:pageBreakBefore w:val="0"/>
              <w:widowControl w:val="0"/>
              <w:shd w:val="clear"/>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000000"/>
                <w:kern w:val="0"/>
                <w:sz w:val="21"/>
                <w:szCs w:val="21"/>
                <w:highlight w:val="none"/>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pPr>
              <w:keepNext w:val="0"/>
              <w:keepLines w:val="0"/>
              <w:pageBreakBefore w:val="0"/>
              <w:widowControl w:val="0"/>
              <w:shd w:val="clear"/>
              <w:tabs>
                <w:tab w:val="right" w:leader="dot" w:pos="8296"/>
              </w:tabs>
              <w:kinsoku/>
              <w:wordWrap/>
              <w:overflowPunct/>
              <w:topLinePunct w:val="0"/>
              <w:autoSpaceDE/>
              <w:autoSpaceDN/>
              <w:bidi w:val="0"/>
              <w:adjustRightInd w:val="0"/>
              <w:snapToGrid w:val="0"/>
              <w:spacing w:afterLines="0" w:line="240" w:lineRule="auto"/>
              <w:ind w:firstLine="0" w:firstLineChars="0"/>
              <w:jc w:val="both"/>
              <w:textAlignment w:val="auto"/>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bCs/>
                <w:snapToGrid w:val="0"/>
                <w:color w:val="000000"/>
                <w:kern w:val="0"/>
                <w:sz w:val="21"/>
                <w:szCs w:val="21"/>
                <w:highlight w:val="none"/>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c>
          <w:tcPr>
            <w:tcW w:w="2893" w:type="dxa"/>
            <w:gridSpan w:val="2"/>
            <w:tcBorders>
              <w:top w:val="single" w:color="auto" w:sz="4" w:space="0"/>
              <w:left w:val="nil"/>
              <w:bottom w:val="single" w:color="auto" w:sz="4" w:space="0"/>
              <w:right w:val="single" w:color="auto" w:sz="4" w:space="0"/>
            </w:tcBorders>
            <w:vAlign w:val="center"/>
          </w:tcPr>
          <w:p>
            <w:pPr>
              <w:pStyle w:val="5"/>
              <w:tabs>
                <w:tab w:val="left" w:pos="3014"/>
              </w:tabs>
              <w:spacing w:line="240" w:lineRule="auto"/>
              <w:ind w:firstLine="0" w:firstLineChars="0"/>
              <w:jc w:val="both"/>
              <w:rPr>
                <w:sz w:val="28"/>
                <w:szCs w:val="28"/>
              </w:rPr>
            </w:pPr>
          </w:p>
        </w:tc>
      </w:tr>
    </w:tbl>
    <w:p>
      <w:pPr>
        <w:jc w:val="both"/>
        <w:rPr>
          <w:rFonts w:hint="eastAsia"/>
          <w:lang w:val="en-US" w:eastAsia="zh-CN"/>
        </w:rPr>
      </w:pPr>
    </w:p>
    <w:p>
      <w:pPr>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pPr>
      <w:r>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br w:type="page"/>
      </w:r>
    </w:p>
    <w:p>
      <w:pPr>
        <w:pStyle w:val="7"/>
        <w:jc w:val="both"/>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pPr>
      <w:r>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t>（二）项目基本信息</w:t>
      </w:r>
    </w:p>
    <w:tbl>
      <w:tblPr>
        <w:tblStyle w:val="15"/>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984" w:type="dxa"/>
            <w:vAlign w:val="center"/>
          </w:tcPr>
          <w:p>
            <w:pPr>
              <w:pStyle w:val="5"/>
              <w:spacing w:line="240" w:lineRule="auto"/>
              <w:ind w:firstLine="0" w:firstLineChars="0"/>
              <w:jc w:val="both"/>
              <w:rPr>
                <w:sz w:val="28"/>
                <w:szCs w:val="28"/>
              </w:rPr>
            </w:pPr>
            <w:r>
              <w:rPr>
                <w:rFonts w:hint="eastAsia" w:ascii="仿宋_GB2312" w:hAnsi="仿宋_GB2312" w:eastAsia="仿宋_GB2312" w:cs="仿宋_GB2312"/>
                <w:color w:val="000000"/>
                <w:kern w:val="0"/>
                <w:sz w:val="24"/>
                <w:szCs w:val="24"/>
                <w:highlight w:val="none"/>
                <w:u w:val="none"/>
                <w:lang w:bidi="ar"/>
              </w:rPr>
              <w:t>项目名称</w:t>
            </w:r>
          </w:p>
        </w:tc>
        <w:tc>
          <w:tcPr>
            <w:tcW w:w="6348" w:type="dxa"/>
            <w:vAlign w:val="center"/>
          </w:tcPr>
          <w:p>
            <w:pPr>
              <w:pStyle w:val="5"/>
              <w:spacing w:line="240" w:lineRule="auto"/>
              <w:ind w:firstLine="0" w:firstLineChars="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1984"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项目实施期限</w:t>
            </w:r>
          </w:p>
        </w:tc>
        <w:tc>
          <w:tcPr>
            <w:tcW w:w="6348"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 xml:space="preserve">       年      月 </w:t>
            </w:r>
            <w:r>
              <w:rPr>
                <w:rFonts w:hint="eastAsia" w:ascii="仿宋_GB2312" w:hAnsi="仿宋_GB2312" w:eastAsia="仿宋_GB2312" w:cs="仿宋_GB2312"/>
                <w:color w:val="000000"/>
                <w:kern w:val="0"/>
                <w:sz w:val="24"/>
                <w:szCs w:val="24"/>
                <w:highlight w:val="none"/>
                <w:u w:val="none"/>
                <w:lang w:val="en-US" w:eastAsia="zh-CN" w:bidi="ar"/>
              </w:rPr>
              <w:t xml:space="preserve">  </w:t>
            </w:r>
            <w:r>
              <w:rPr>
                <w:rFonts w:hint="eastAsia" w:ascii="仿宋_GB2312" w:hAnsi="仿宋_GB2312" w:eastAsia="仿宋_GB2312" w:cs="仿宋_GB2312"/>
                <w:color w:val="000000"/>
                <w:kern w:val="0"/>
                <w:sz w:val="24"/>
                <w:szCs w:val="24"/>
                <w:highlight w:val="none"/>
                <w:u w:val="none"/>
                <w:lang w:bidi="ar"/>
              </w:rPr>
              <w:t>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984" w:type="dxa"/>
            <w:vMerge w:val="restart"/>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项目投资额</w:t>
            </w:r>
          </w:p>
        </w:tc>
        <w:tc>
          <w:tcPr>
            <w:tcW w:w="6348"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总投资额：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984" w:type="dxa"/>
            <w:vMerge w:val="continue"/>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c>
          <w:tcPr>
            <w:tcW w:w="6348"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shd w:val="clear"/>
                <w:lang w:bidi="ar"/>
              </w:rPr>
            </w:pPr>
            <w:r>
              <w:rPr>
                <w:rFonts w:hint="eastAsia" w:ascii="仿宋_GB2312" w:hAnsi="仿宋_GB2312" w:eastAsia="仿宋_GB2312" w:cs="仿宋_GB2312"/>
                <w:color w:val="000000"/>
                <w:kern w:val="0"/>
                <w:sz w:val="24"/>
                <w:szCs w:val="24"/>
                <w:highlight w:val="none"/>
                <w:u w:val="none"/>
                <w:shd w:val="clear"/>
                <w:lang w:bidi="ar"/>
              </w:rPr>
              <w:t>数字化改造相关的软件、云服务支出：</w:t>
            </w:r>
          </w:p>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1984" w:type="dxa"/>
            <w:vMerge w:val="continue"/>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c>
          <w:tcPr>
            <w:tcW w:w="6348"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网关、路由等必要数据采集传输设备支出：</w:t>
            </w:r>
          </w:p>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shd w:val="clear"/>
                <w:lang w:bidi="ar"/>
              </w:rPr>
            </w:pPr>
            <w:r>
              <w:rPr>
                <w:rFonts w:hint="eastAsia" w:ascii="仿宋_GB2312" w:hAnsi="仿宋_GB2312" w:eastAsia="仿宋_GB2312" w:cs="仿宋_GB2312"/>
                <w:color w:val="000000"/>
                <w:kern w:val="0"/>
                <w:sz w:val="24"/>
                <w:szCs w:val="24"/>
                <w:highlight w:val="none"/>
                <w:u w:val="none"/>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exact"/>
          <w:jc w:val="center"/>
        </w:trPr>
        <w:tc>
          <w:tcPr>
            <w:tcW w:w="1984" w:type="dxa"/>
            <w:vAlign w:val="center"/>
          </w:tcPr>
          <w:p>
            <w:pPr>
              <w:widowControl/>
              <w:wordWrap/>
              <w:spacing w:line="240" w:lineRule="auto"/>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2"/>
                <w:sz w:val="24"/>
                <w:szCs w:val="24"/>
                <w:highlight w:val="none"/>
                <w:u w:val="none"/>
                <w:lang w:eastAsia="zh-CN" w:bidi="ar"/>
              </w:rPr>
              <w:t>项目部署软件/系统/平台情况（多选）</w:t>
            </w:r>
          </w:p>
        </w:tc>
        <w:tc>
          <w:tcPr>
            <w:tcW w:w="6348" w:type="dxa"/>
            <w:vAlign w:val="center"/>
          </w:tcPr>
          <w:p>
            <w:pPr>
              <w:widowControl/>
              <w:wordWrap/>
              <w:spacing w:line="240" w:lineRule="auto"/>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2"/>
                <w:sz w:val="24"/>
                <w:szCs w:val="24"/>
                <w:highlight w:val="none"/>
                <w:u w:val="none"/>
                <w:lang w:eastAsia="zh-CN" w:bidi="ar"/>
              </w:rPr>
              <w:t>☐产品设计*  ☐工艺设计 ☐营销管理* ☐售后服务 ☐计划排程  ☐生产管控* ☐质量管理* ☐设备管理*☐安全生产* ☐能耗管理* ☐采购管理* ☐仓储管理*☐财务管理* ☐人力资源 ☐协同办公 ☐决策支持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984"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数字化服务商</w:t>
            </w:r>
          </w:p>
        </w:tc>
        <w:tc>
          <w:tcPr>
            <w:tcW w:w="6348"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1984"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企业改造后</w:t>
            </w:r>
          </w:p>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bidi="ar"/>
              </w:rPr>
            </w:pPr>
            <w:r>
              <w:rPr>
                <w:rFonts w:hint="eastAsia" w:ascii="仿宋_GB2312" w:hAnsi="仿宋_GB2312" w:eastAsia="仿宋_GB2312" w:cs="仿宋_GB2312"/>
                <w:color w:val="000000"/>
                <w:kern w:val="0"/>
                <w:sz w:val="24"/>
                <w:szCs w:val="24"/>
                <w:highlight w:val="none"/>
                <w:u w:val="none"/>
                <w:lang w:bidi="ar"/>
              </w:rPr>
              <w:t>数字化水平</w:t>
            </w:r>
          </w:p>
        </w:tc>
        <w:tc>
          <w:tcPr>
            <w:tcW w:w="6348" w:type="dxa"/>
            <w:vAlign w:val="center"/>
          </w:tcPr>
          <w:p>
            <w:pPr>
              <w:pStyle w:val="5"/>
              <w:spacing w:line="240" w:lineRule="auto"/>
              <w:ind w:firstLine="0" w:firstLineChars="0"/>
              <w:jc w:val="both"/>
              <w:rPr>
                <w:rFonts w:hint="eastAsia" w:ascii="仿宋_GB2312" w:hAnsi="仿宋_GB2312" w:eastAsia="仿宋_GB2312" w:cs="仿宋_GB2312"/>
                <w:color w:val="000000"/>
                <w:kern w:val="0"/>
                <w:sz w:val="24"/>
                <w:szCs w:val="24"/>
                <w:highlight w:val="none"/>
                <w:u w:val="none"/>
                <w:lang w:eastAsia="zh-CN" w:bidi="ar"/>
              </w:rPr>
            </w:pPr>
            <w:r>
              <w:rPr>
                <w:rFonts w:hint="eastAsia" w:ascii="仿宋_GB2312" w:hAnsi="仿宋_GB2312" w:eastAsia="仿宋_GB2312" w:cs="仿宋_GB2312"/>
                <w:color w:val="000000"/>
                <w:kern w:val="0"/>
                <w:sz w:val="24"/>
                <w:szCs w:val="24"/>
                <w:highlight w:val="none"/>
                <w:u w:val="none"/>
                <w:lang w:bidi="ar"/>
              </w:rPr>
              <w:t>□二级    □三级    □四级</w:t>
            </w:r>
            <w:r>
              <w:rPr>
                <w:rFonts w:hint="eastAsia" w:ascii="仿宋_GB2312" w:hAnsi="仿宋_GB2312" w:eastAsia="仿宋_GB2312" w:cs="仿宋_GB2312"/>
                <w:color w:val="000000"/>
                <w:kern w:val="0"/>
                <w:sz w:val="24"/>
                <w:szCs w:val="24"/>
                <w:highlight w:val="none"/>
                <w:u w:val="none"/>
                <w:lang w:eastAsia="zh-CN" w:bidi="ar"/>
              </w:rPr>
              <w:t>（</w:t>
            </w:r>
            <w:r>
              <w:rPr>
                <w:rFonts w:hint="eastAsia" w:ascii="仿宋_GB2312" w:hAnsi="仿宋_GB2312" w:eastAsia="仿宋_GB2312" w:cs="仿宋_GB2312"/>
                <w:color w:val="000000"/>
                <w:kern w:val="0"/>
                <w:sz w:val="24"/>
                <w:szCs w:val="24"/>
                <w:highlight w:val="none"/>
                <w:u w:val="none"/>
                <w:lang w:val="en-US" w:eastAsia="zh-CN" w:bidi="ar"/>
              </w:rPr>
              <w:t>放截图</w:t>
            </w:r>
            <w:r>
              <w:rPr>
                <w:rFonts w:hint="eastAsia" w:ascii="仿宋_GB2312" w:hAnsi="仿宋_GB2312" w:eastAsia="仿宋_GB2312" w:cs="仿宋_GB2312"/>
                <w:color w:val="000000"/>
                <w:kern w:val="0"/>
                <w:sz w:val="24"/>
                <w:szCs w:val="24"/>
                <w:highlight w:val="none"/>
                <w:u w:val="none"/>
                <w:lang w:eastAsia="zh-CN" w:bidi="ar"/>
              </w:rPr>
              <w:t>）</w:t>
            </w:r>
          </w:p>
        </w:tc>
      </w:tr>
    </w:tbl>
    <w:p>
      <w:pPr>
        <w:pStyle w:val="7"/>
        <w:jc w:val="both"/>
        <w:rPr>
          <w:rFonts w:hint="eastAsia"/>
          <w:lang w:val="en-US" w:eastAsia="zh-CN"/>
        </w:rPr>
      </w:pPr>
    </w:p>
    <w:p>
      <w:pPr>
        <w:jc w:val="both"/>
        <w:rPr>
          <w:rFonts w:hint="eastAsia" w:ascii="国标楷体" w:hAnsi="国标楷体" w:eastAsia="国标楷体" w:cs="国标楷体"/>
          <w:color w:val="333333"/>
          <w:sz w:val="32"/>
          <w:szCs w:val="32"/>
          <w:highlight w:val="none"/>
          <w:shd w:val="clear" w:color="auto" w:fill="FFFFFF"/>
          <w:lang w:eastAsia="zh-CN"/>
        </w:rPr>
      </w:pPr>
      <w:r>
        <w:rPr>
          <w:rFonts w:hint="eastAsia" w:ascii="国标楷体" w:hAnsi="国标楷体" w:eastAsia="国标楷体" w:cs="国标楷体"/>
          <w:color w:val="333333"/>
          <w:sz w:val="32"/>
          <w:szCs w:val="32"/>
          <w:highlight w:val="none"/>
          <w:shd w:val="clear" w:color="auto" w:fill="FFFFFF"/>
          <w:lang w:eastAsia="zh-CN"/>
        </w:rPr>
        <w:br w:type="page"/>
      </w:r>
    </w:p>
    <w:p>
      <w:pPr>
        <w:pStyle w:val="7"/>
        <w:jc w:val="both"/>
        <w:rPr>
          <w:rFonts w:hint="eastAsia" w:ascii="国标楷体" w:hAnsi="国标楷体" w:eastAsia="国标楷体" w:cs="国标楷体"/>
          <w:color w:val="333333"/>
          <w:sz w:val="32"/>
          <w:szCs w:val="32"/>
          <w:highlight w:val="none"/>
          <w:shd w:val="clear" w:color="auto" w:fill="FFFFFF"/>
        </w:rPr>
      </w:pPr>
      <w:r>
        <w:rPr>
          <w:rFonts w:hint="eastAsia" w:ascii="国标楷体" w:hAnsi="国标楷体" w:eastAsia="国标楷体" w:cs="国标楷体"/>
          <w:color w:val="333333"/>
          <w:sz w:val="32"/>
          <w:szCs w:val="32"/>
          <w:highlight w:val="none"/>
          <w:shd w:val="clear" w:color="auto" w:fill="FFFFFF"/>
          <w:lang w:eastAsia="zh-CN"/>
        </w:rPr>
        <w:t>（</w:t>
      </w:r>
      <w:r>
        <w:rPr>
          <w:rFonts w:hint="eastAsia" w:ascii="国标楷体" w:hAnsi="国标楷体" w:eastAsia="国标楷体" w:cs="国标楷体"/>
          <w:color w:val="333333"/>
          <w:sz w:val="32"/>
          <w:szCs w:val="32"/>
          <w:highlight w:val="none"/>
          <w:shd w:val="clear" w:color="auto" w:fill="FFFFFF"/>
          <w:lang w:val="en-US" w:eastAsia="zh-CN"/>
        </w:rPr>
        <w:t>三</w:t>
      </w:r>
      <w:r>
        <w:rPr>
          <w:rFonts w:hint="eastAsia" w:ascii="国标楷体" w:hAnsi="国标楷体" w:eastAsia="国标楷体" w:cs="国标楷体"/>
          <w:color w:val="333333"/>
          <w:sz w:val="32"/>
          <w:szCs w:val="32"/>
          <w:highlight w:val="none"/>
          <w:shd w:val="clear" w:color="auto" w:fill="FFFFFF"/>
          <w:lang w:eastAsia="zh-CN"/>
        </w:rPr>
        <w:t>）</w:t>
      </w:r>
      <w:r>
        <w:rPr>
          <w:rFonts w:hint="eastAsia" w:ascii="国标楷体" w:hAnsi="国标楷体" w:eastAsia="国标楷体" w:cs="国标楷体"/>
          <w:color w:val="333333"/>
          <w:sz w:val="32"/>
          <w:szCs w:val="32"/>
          <w:highlight w:val="none"/>
          <w:shd w:val="clear" w:color="auto" w:fill="FFFFFF"/>
        </w:rPr>
        <w:t>申报承诺</w:t>
      </w:r>
    </w:p>
    <w:p>
      <w:pPr>
        <w:pStyle w:val="5"/>
        <w:ind w:firstLine="640"/>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rPr>
        <w:t>我公司承担的中小企业数字化改造试点项目已完成建设并运行，已具备</w:t>
      </w:r>
      <w:r>
        <w:rPr>
          <w:rFonts w:hint="eastAsia" w:ascii="仿宋_GB2312" w:hAnsi="仿宋_GB2312" w:eastAsia="仿宋_GB2312" w:cs="仿宋_GB2312"/>
          <w:b w:val="0"/>
          <w:bCs w:val="0"/>
          <w:lang w:val="en-US" w:eastAsia="zh-CN"/>
        </w:rPr>
        <w:t>测评</w:t>
      </w:r>
      <w:r>
        <w:rPr>
          <w:rFonts w:hint="eastAsia" w:ascii="仿宋_GB2312" w:hAnsi="仿宋_GB2312" w:eastAsia="仿宋_GB2312" w:cs="仿宋_GB2312"/>
          <w:b w:val="0"/>
          <w:bCs w:val="0"/>
        </w:rPr>
        <w:t>验收条件，现提请对项目进行</w:t>
      </w:r>
      <w:r>
        <w:rPr>
          <w:rFonts w:hint="eastAsia" w:ascii="仿宋_GB2312" w:hAnsi="仿宋_GB2312" w:eastAsia="仿宋_GB2312" w:cs="仿宋_GB2312"/>
          <w:b w:val="0"/>
          <w:bCs w:val="0"/>
          <w:lang w:val="en-US" w:eastAsia="zh-CN"/>
        </w:rPr>
        <w:t>评测</w:t>
      </w:r>
      <w:r>
        <w:rPr>
          <w:rFonts w:hint="eastAsia" w:ascii="仿宋_GB2312" w:hAnsi="仿宋_GB2312" w:eastAsia="仿宋_GB2312" w:cs="仿宋_GB2312"/>
          <w:b w:val="0"/>
          <w:bCs w:val="0"/>
        </w:rPr>
        <w:t>验收。</w:t>
      </w:r>
      <w:r>
        <w:rPr>
          <w:rFonts w:hint="eastAsia" w:ascii="仿宋_GB2312" w:hAnsi="仿宋_GB2312" w:eastAsia="仿宋_GB2312" w:cs="仿宋_GB2312"/>
          <w:b w:val="0"/>
          <w:bCs w:val="0"/>
          <w:lang w:val="en-US" w:eastAsia="zh-CN"/>
        </w:rPr>
        <w:t>评测</w:t>
      </w:r>
      <w:r>
        <w:rPr>
          <w:rFonts w:hint="eastAsia" w:ascii="仿宋_GB2312" w:hAnsi="仿宋_GB2312" w:eastAsia="仿宋_GB2312" w:cs="仿宋_GB2312"/>
          <w:b w:val="0"/>
          <w:bCs w:val="0"/>
        </w:rPr>
        <w:t>验收所需材料均真实、完整，如有不实，我单位愿承担法律责任。</w:t>
      </w:r>
    </w:p>
    <w:p>
      <w:pPr>
        <w:pStyle w:val="5"/>
        <w:ind w:firstLine="640"/>
        <w:jc w:val="both"/>
        <w:rPr>
          <w:rFonts w:hint="eastAsia" w:ascii="仿宋_GB2312" w:hAnsi="仿宋_GB2312" w:eastAsia="仿宋_GB2312" w:cs="仿宋_GB2312"/>
          <w:b w:val="0"/>
          <w:bCs w:val="0"/>
        </w:rPr>
      </w:pPr>
    </w:p>
    <w:p>
      <w:pPr>
        <w:pStyle w:val="5"/>
        <w:ind w:firstLine="640"/>
        <w:jc w:val="both"/>
        <w:rPr>
          <w:rFonts w:hint="eastAsia" w:ascii="仿宋_GB2312" w:hAnsi="仿宋_GB2312" w:eastAsia="仿宋_GB2312" w:cs="仿宋_GB2312"/>
          <w:b w:val="0"/>
          <w:bCs w:val="0"/>
        </w:rPr>
      </w:pPr>
    </w:p>
    <w:p>
      <w:pPr>
        <w:pStyle w:val="5"/>
        <w:ind w:firstLine="640"/>
        <w:jc w:val="both"/>
        <w:rPr>
          <w:rFonts w:hint="eastAsia" w:ascii="仿宋_GB2312" w:hAnsi="仿宋_GB2312" w:eastAsia="仿宋_GB2312" w:cs="仿宋_GB2312"/>
          <w:b w:val="0"/>
          <w:bCs w:val="0"/>
        </w:rPr>
      </w:pPr>
    </w:p>
    <w:p>
      <w:pPr>
        <w:pStyle w:val="5"/>
        <w:spacing w:after="240" w:afterLines="100"/>
        <w:ind w:firstLine="0" w:firstLineChars="0"/>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rPr>
        <w:t>法定代表人（</w:t>
      </w:r>
      <w:r>
        <w:rPr>
          <w:rFonts w:hint="eastAsia" w:ascii="仿宋_GB2312" w:hAnsi="仿宋_GB2312" w:eastAsia="仿宋_GB2312" w:cs="仿宋_GB2312"/>
          <w:b w:val="0"/>
          <w:bCs w:val="0"/>
          <w:lang w:val="en-US" w:eastAsia="zh-CN"/>
        </w:rPr>
        <w:t>签字</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 xml:space="preserve">                   单位：盖章</w:t>
      </w:r>
    </w:p>
    <w:p>
      <w:pPr>
        <w:pStyle w:val="5"/>
        <w:wordWrap/>
        <w:ind w:firstLine="4800" w:firstLineChars="1500"/>
        <w:jc w:val="right"/>
        <w:rPr>
          <w:rFonts w:hint="eastAsia" w:ascii="仿宋_GB2312" w:hAnsi="仿宋_GB2312" w:eastAsia="仿宋_GB2312" w:cs="仿宋_GB2312"/>
          <w:b w:val="0"/>
          <w:bCs w:val="0"/>
        </w:rPr>
      </w:pPr>
      <w:r>
        <w:rPr>
          <w:rFonts w:hint="eastAsia" w:ascii="仿宋_GB2312" w:hAnsi="仿宋_GB2312" w:eastAsia="仿宋_GB2312" w:cs="仿宋_GB2312"/>
          <w:b w:val="0"/>
          <w:bCs w:val="0"/>
        </w:rPr>
        <w:t>年        月       日</w:t>
      </w:r>
    </w:p>
    <w:p>
      <w:pPr>
        <w:jc w:val="both"/>
        <w:rPr>
          <w:rFonts w:hint="eastAsia"/>
          <w:lang w:val="en-US" w:eastAsia="zh-CN"/>
        </w:rPr>
      </w:pPr>
    </w:p>
    <w:p>
      <w:pPr>
        <w:pStyle w:val="7"/>
        <w:jc w:val="both"/>
        <w:rPr>
          <w:rFonts w:hint="eastAsia"/>
          <w:lang w:val="en-US" w:eastAsia="zh-CN"/>
        </w:rPr>
      </w:pPr>
    </w:p>
    <w:p>
      <w:pPr>
        <w:jc w:val="both"/>
        <w:rPr>
          <w:rFonts w:hint="eastAsia"/>
          <w:lang w:val="en-US" w:eastAsia="zh-CN"/>
        </w:rPr>
      </w:pPr>
    </w:p>
    <w:p>
      <w:pPr>
        <w:numPr>
          <w:ilvl w:val="0"/>
          <w:numId w:val="0"/>
        </w:numPr>
        <w:shd w:val="clear"/>
        <w:ind w:leftChars="0"/>
        <w:jc w:val="both"/>
        <w:rPr>
          <w:rFonts w:hint="default" w:ascii="仿宋_GB2312" w:hAnsi="仿宋_GB2312" w:eastAsia="仿宋_GB2312" w:cs="仿宋_GB2312"/>
          <w:sz w:val="32"/>
          <w:szCs w:val="32"/>
          <w:highlight w:val="none"/>
          <w:lang w:val="en-US" w:eastAsia="zh-CN"/>
        </w:rPr>
        <w:sectPr>
          <w:footerReference r:id="rId4" w:type="default"/>
          <w:pgSz w:w="11906" w:h="16838"/>
          <w:pgMar w:top="2098" w:right="1531" w:bottom="1361" w:left="1531" w:header="851" w:footer="992" w:gutter="0"/>
          <w:pgNumType w:fmt="decimal" w:start="1"/>
          <w:cols w:space="720" w:num="1"/>
          <w:docGrid w:type="lines" w:linePitch="312" w:charSpace="0"/>
        </w:sectPr>
      </w:pPr>
    </w:p>
    <w:p>
      <w:pPr>
        <w:numPr>
          <w:ilvl w:val="0"/>
          <w:numId w:val="0"/>
        </w:numPr>
        <w:ind w:leftChars="0"/>
        <w:jc w:val="both"/>
        <w:rPr>
          <w:rFonts w:hint="eastAsia" w:ascii="黑体" w:hAnsi="宋体" w:eastAsia="黑体" w:cs="黑体"/>
          <w:i w:val="0"/>
          <w:iCs w:val="0"/>
          <w:caps w:val="0"/>
          <w:color w:val="333333"/>
          <w:spacing w:val="0"/>
          <w:sz w:val="36"/>
          <w:szCs w:val="36"/>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二、服务商承诺书</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我单位承诺为        公司提供优质的产品或服务，且价格优惠合理，符合“服务商让一点”的原则，如有不实，我单位愿承担相应后果。</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集成（改造）服务商（盖章）：</w:t>
      </w:r>
    </w:p>
    <w:p>
      <w:pPr>
        <w:numPr>
          <w:ilvl w:val="0"/>
          <w:numId w:val="0"/>
        </w:numPr>
        <w:ind w:firstLine="640" w:firstLineChars="200"/>
        <w:jc w:val="righ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年    月    日</w:t>
      </w:r>
    </w:p>
    <w:p>
      <w:pPr>
        <w:numPr>
          <w:ilvl w:val="0"/>
          <w:numId w:val="0"/>
        </w:numPr>
        <w:ind w:leftChars="0"/>
        <w:jc w:val="both"/>
        <w:rPr>
          <w:rFonts w:hint="eastAsia" w:ascii="黑体" w:hAnsi="宋体" w:eastAsia="黑体" w:cs="黑体"/>
          <w:i w:val="0"/>
          <w:iCs w:val="0"/>
          <w:caps w:val="0"/>
          <w:color w:val="333333"/>
          <w:spacing w:val="0"/>
          <w:sz w:val="36"/>
          <w:szCs w:val="36"/>
          <w:shd w:val="clear" w:fill="FFFFFF"/>
          <w:lang w:val="en-US" w:eastAsia="zh-CN"/>
        </w:rPr>
        <w:sectPr>
          <w:footerReference r:id="rId5" w:type="default"/>
          <w:pgSz w:w="11906" w:h="16838"/>
          <w:pgMar w:top="2098" w:right="1531" w:bottom="1361" w:left="1531" w:header="851" w:footer="992" w:gutter="0"/>
          <w:pgNumType w:fmt="decimal" w:start="1"/>
          <w:cols w:space="720" w:num="1"/>
          <w:docGrid w:type="lines" w:linePitch="312" w:charSpace="0"/>
        </w:sectPr>
      </w:pPr>
    </w:p>
    <w:p>
      <w:pPr>
        <w:keepNext/>
        <w:keepLines/>
        <w:pageBreakBefore w:val="0"/>
        <w:widowControl w:val="0"/>
        <w:numPr>
          <w:ilvl w:val="0"/>
          <w:numId w:val="0"/>
        </w:numPr>
        <w:kinsoku/>
        <w:wordWrap/>
        <w:overflowPunct/>
        <w:topLinePunct w:val="0"/>
        <w:autoSpaceDE/>
        <w:autoSpaceDN/>
        <w:bidi w:val="0"/>
        <w:adjustRightInd/>
        <w:snapToGrid/>
        <w:spacing w:line="579" w:lineRule="exact"/>
        <w:jc w:val="both"/>
        <w:textAlignment w:val="auto"/>
        <w:outlineLvl w:val="1"/>
        <w:rPr>
          <w:rFonts w:hint="eastAsia" w:ascii="方正黑体_GBK" w:hAnsi="方正黑体_GBK" w:eastAsia="方正黑体_GBK" w:cs="方正黑体_GBK"/>
          <w:bCs/>
          <w:kern w:val="44"/>
          <w:sz w:val="32"/>
          <w:szCs w:val="44"/>
          <w:lang w:val="en-US" w:eastAsia="zh-CN" w:bidi="ar-SA"/>
        </w:rPr>
      </w:pPr>
      <w:r>
        <w:rPr>
          <w:rFonts w:hint="eastAsia" w:ascii="方正黑体_GBK" w:hAnsi="方正黑体_GBK" w:eastAsia="方正黑体_GBK" w:cs="方正黑体_GBK"/>
          <w:bCs/>
          <w:kern w:val="44"/>
          <w:sz w:val="32"/>
          <w:szCs w:val="44"/>
          <w:lang w:val="en-US" w:eastAsia="zh-CN" w:bidi="ar-SA"/>
        </w:rPr>
        <w:t>附件1.2</w:t>
      </w:r>
    </w:p>
    <w:p>
      <w:pPr>
        <w:numPr>
          <w:ilvl w:val="0"/>
          <w:numId w:val="0"/>
        </w:numPr>
        <w:shd w:val="clear"/>
        <w:ind w:leftChars="0"/>
        <w:jc w:val="center"/>
        <w:rPr>
          <w:rFonts w:hint="eastAsia" w:ascii="国标小标宋" w:hAnsi="国标小标宋" w:eastAsia="国标小标宋" w:cs="国标小标宋"/>
          <w:i w:val="0"/>
          <w:iCs w:val="0"/>
          <w:caps w:val="0"/>
          <w:color w:val="333333"/>
          <w:spacing w:val="0"/>
          <w:sz w:val="44"/>
          <w:szCs w:val="44"/>
          <w:highlight w:val="none"/>
          <w:shd w:val="clear" w:color="auto" w:fill="FFFFFF"/>
        </w:rPr>
      </w:pPr>
      <w:r>
        <w:rPr>
          <w:rFonts w:hint="eastAsia" w:ascii="方正小标宋_GBK" w:hAnsi="方正小标宋_GBK" w:eastAsia="方正小标宋_GBK" w:cs="方正小标宋_GBK"/>
          <w:i w:val="0"/>
          <w:iCs w:val="0"/>
          <w:caps w:val="0"/>
          <w:color w:val="333333"/>
          <w:spacing w:val="0"/>
          <w:sz w:val="44"/>
          <w:szCs w:val="44"/>
          <w:highlight w:val="none"/>
          <w:shd w:val="clear" w:color="auto" w:fill="FFFFFF"/>
          <w:lang w:val="en-US" w:eastAsia="zh-CN"/>
        </w:rPr>
        <w:t>中小企业数字化转型试点项目改造总结报告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left="0" w:right="0" w:firstLine="640" w:firstLineChars="200"/>
        <w:jc w:val="left"/>
        <w:rPr>
          <w:rFonts w:hint="eastAsia" w:ascii="国标黑体" w:hAnsi="国标黑体" w:eastAsia="国标黑体" w:cs="国标黑体"/>
          <w:i w:val="0"/>
          <w:iCs w:val="0"/>
          <w:caps w:val="0"/>
          <w:color w:val="333333"/>
          <w:spacing w:val="0"/>
          <w:sz w:val="32"/>
          <w:szCs w:val="32"/>
          <w:highlight w:val="none"/>
        </w:rPr>
      </w:pPr>
      <w:r>
        <w:rPr>
          <w:rFonts w:hint="eastAsia" w:ascii="国标黑体" w:hAnsi="国标黑体" w:eastAsia="国标黑体" w:cs="国标黑体"/>
          <w:i w:val="0"/>
          <w:iCs w:val="0"/>
          <w:caps w:val="0"/>
          <w:color w:val="333333"/>
          <w:spacing w:val="0"/>
          <w:sz w:val="32"/>
          <w:szCs w:val="32"/>
          <w:highlight w:val="none"/>
          <w:shd w:val="clear" w:color="auto" w:fill="FFFFFF"/>
          <w:lang w:val="en-US" w:eastAsia="zh-CN"/>
        </w:rPr>
        <w:t>一、企业</w:t>
      </w:r>
      <w:r>
        <w:rPr>
          <w:rFonts w:hint="eastAsia" w:ascii="国标黑体" w:hAnsi="国标黑体" w:eastAsia="国标黑体" w:cs="国标黑体"/>
          <w:i w:val="0"/>
          <w:iCs w:val="0"/>
          <w:caps w:val="0"/>
          <w:color w:val="333333"/>
          <w:spacing w:val="0"/>
          <w:sz w:val="32"/>
          <w:szCs w:val="32"/>
          <w:highlight w:val="none"/>
          <w:shd w:val="clear" w:color="auto" w:fill="FFFFFF"/>
        </w:rPr>
        <w:t>基本情况</w:t>
      </w:r>
    </w:p>
    <w:p>
      <w:pPr>
        <w:widowControl w:val="0"/>
        <w:adjustRightInd/>
        <w:snapToGrid/>
        <w:spacing w:line="560" w:lineRule="exact"/>
        <w:ind w:firstLine="640" w:firstLineChars="200"/>
        <w:jc w:val="both"/>
        <w:outlineLvl w:val="1"/>
        <w:rPr>
          <w:rFonts w:ascii="Times New Roman Regular" w:hAnsi="Times New Roman Regular" w:eastAsia="仿宋_GB2312" w:cs="Times New Roman Regular"/>
          <w:sz w:val="32"/>
          <w:szCs w:val="24"/>
          <w14:ligatures w14:val="none"/>
        </w:rPr>
      </w:pPr>
      <w:bookmarkStart w:id="0" w:name="2.1_企业简介"/>
      <w:bookmarkEnd w:id="0"/>
      <w:bookmarkStart w:id="1" w:name="_bookmark8"/>
      <w:bookmarkEnd w:id="1"/>
      <w:bookmarkStart w:id="2" w:name="_Toc17466"/>
      <w:bookmarkStart w:id="3" w:name="_Toc24858"/>
      <w:bookmarkStart w:id="4" w:name="_Toc131686907"/>
      <w:r>
        <w:rPr>
          <w:rFonts w:hint="eastAsia" w:ascii="Times New Roman Regular" w:hAnsi="Times New Roman Regular" w:eastAsia="仿宋_GB2312" w:cs="Times New Roman Regular"/>
          <w:sz w:val="32"/>
          <w:szCs w:val="24"/>
          <w:lang w:val="en-US" w:eastAsia="zh-CN"/>
          <w14:ligatures w14:val="none"/>
        </w:rPr>
        <w:t>（一）</w:t>
      </w:r>
      <w:r>
        <w:rPr>
          <w:rFonts w:ascii="Times New Roman Regular" w:hAnsi="Times New Roman Regular" w:eastAsia="仿宋_GB2312" w:cs="Times New Roman Regular"/>
          <w:sz w:val="32"/>
          <w:szCs w:val="24"/>
          <w14:ligatures w14:val="none"/>
        </w:rPr>
        <w:t>企业核心业务与经营情况</w:t>
      </w:r>
      <w:bookmarkEnd w:id="2"/>
    </w:p>
    <w:p>
      <w:pPr>
        <w:bidi w:val="0"/>
      </w:pPr>
    </w:p>
    <w:bookmarkEnd w:id="3"/>
    <w:bookmarkEnd w:id="4"/>
    <w:p>
      <w:pPr>
        <w:widowControl w:val="0"/>
        <w:adjustRightInd/>
        <w:snapToGrid/>
        <w:spacing w:line="560" w:lineRule="exact"/>
        <w:ind w:firstLine="640" w:firstLineChars="200"/>
        <w:jc w:val="both"/>
        <w:outlineLvl w:val="1"/>
        <w:rPr>
          <w:rFonts w:ascii="Times New Roman Regular" w:hAnsi="Times New Roman Regular" w:eastAsia="仿宋_GB2312" w:cs="Times New Roman Regular"/>
          <w:sz w:val="32"/>
          <w:szCs w:val="24"/>
          <w14:ligatures w14:val="none"/>
        </w:rPr>
      </w:pPr>
      <w:bookmarkStart w:id="5" w:name="_Toc20602"/>
      <w:r>
        <w:rPr>
          <w:rFonts w:hint="eastAsia" w:ascii="Times New Roman Regular" w:hAnsi="Times New Roman Regular" w:eastAsia="仿宋_GB2312" w:cs="Times New Roman Regular"/>
          <w:sz w:val="32"/>
          <w:szCs w:val="24"/>
          <w:lang w:val="en-US" w:eastAsia="zh-CN"/>
          <w14:ligatures w14:val="none"/>
        </w:rPr>
        <w:t>（二）</w:t>
      </w:r>
      <w:r>
        <w:rPr>
          <w:rFonts w:ascii="Times New Roman Regular" w:hAnsi="Times New Roman Regular" w:eastAsia="仿宋_GB2312" w:cs="Times New Roman Regular"/>
          <w:sz w:val="32"/>
          <w:szCs w:val="24"/>
          <w14:ligatures w14:val="none"/>
        </w:rPr>
        <w:t>企业所属行业情况</w:t>
      </w:r>
      <w:bookmarkEnd w:id="5"/>
    </w:p>
    <w:p>
      <w:pPr>
        <w:bidi w:val="0"/>
        <w:ind w:firstLine="1120" w:firstLineChars="400"/>
        <w:rPr>
          <w:rFonts w:hint="eastAsia"/>
          <w:color w:val="0000FF"/>
          <w:lang w:val="en-US" w:eastAsia="zh-CN"/>
        </w:rPr>
      </w:pPr>
    </w:p>
    <w:p>
      <w:pPr>
        <w:bidi w:val="0"/>
        <w:ind w:firstLine="1120" w:firstLineChars="400"/>
        <w:rPr>
          <w:rFonts w:hint="default" w:eastAsiaTheme="minorEastAsia"/>
          <w:color w:val="0000FF"/>
          <w:lang w:val="en-US" w:eastAsia="zh-CN"/>
        </w:rPr>
      </w:pPr>
      <w:r>
        <w:rPr>
          <w:rFonts w:hint="eastAsia"/>
          <w:color w:val="0000FF"/>
          <w:lang w:val="en-US" w:eastAsia="zh-CN"/>
        </w:rPr>
        <w:t>围绕企业在所属行业的影响力</w:t>
      </w:r>
    </w:p>
    <w:p>
      <w:pPr>
        <w:widowControl w:val="0"/>
        <w:adjustRightInd/>
        <w:snapToGrid/>
        <w:spacing w:line="560" w:lineRule="exact"/>
        <w:ind w:firstLine="640" w:firstLineChars="200"/>
        <w:jc w:val="both"/>
        <w:outlineLvl w:val="1"/>
        <w:rPr>
          <w:rFonts w:ascii="Times New Roman Regular" w:hAnsi="Times New Roman Regular" w:eastAsia="仿宋_GB2312" w:cs="Times New Roman Regular"/>
          <w:sz w:val="32"/>
          <w:szCs w:val="24"/>
          <w14:ligatures w14:val="none"/>
        </w:rPr>
      </w:pPr>
      <w:bookmarkStart w:id="6" w:name="_Toc37"/>
      <w:r>
        <w:rPr>
          <w:rFonts w:hint="eastAsia" w:ascii="Times New Roman Regular" w:hAnsi="Times New Roman Regular" w:eastAsia="仿宋_GB2312" w:cs="Times New Roman Regular"/>
          <w:sz w:val="32"/>
          <w:szCs w:val="24"/>
          <w:lang w:val="en-US" w:eastAsia="zh-CN"/>
          <w14:ligatures w14:val="none"/>
        </w:rPr>
        <w:t>（三）</w:t>
      </w:r>
      <w:r>
        <w:rPr>
          <w:rFonts w:hint="eastAsia" w:ascii="Times New Roman Regular" w:hAnsi="Times New Roman Regular" w:eastAsia="仿宋_GB2312" w:cs="Times New Roman Regular"/>
          <w:sz w:val="32"/>
          <w:szCs w:val="24"/>
          <w14:ligatures w14:val="none"/>
        </w:rPr>
        <w:t>企业数字化转型情况</w:t>
      </w:r>
      <w:bookmarkEnd w:id="6"/>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333333"/>
          <w:spacing w:val="0"/>
          <w:sz w:val="32"/>
          <w:szCs w:val="32"/>
          <w:highlight w:val="none"/>
          <w:shd w:val="clear" w:color="auto" w:fill="FFFFFF"/>
        </w:rPr>
      </w:pPr>
    </w:p>
    <w:p>
      <w:pPr>
        <w:keepNext/>
        <w:widowControl/>
        <w:spacing w:line="540" w:lineRule="exact"/>
        <w:ind w:firstLine="640" w:firstLineChars="200"/>
        <w:jc w:val="center"/>
        <w:outlineLvl w:val="0"/>
        <w:rPr>
          <w:rFonts w:hint="eastAsia" w:ascii="黑体" w:hAnsi="黑体" w:eastAsia="黑体"/>
          <w:sz w:val="32"/>
          <w:szCs w:val="32"/>
        </w:rPr>
      </w:pPr>
      <w:r>
        <w:rPr>
          <w:rFonts w:ascii="Times New Roman Regular" w:hAnsi="Times New Roman Regular" w:eastAsia="黑体" w:cs="Times New Roman Regular"/>
          <w:kern w:val="2"/>
          <w:sz w:val="32"/>
          <w:szCs w:val="32"/>
          <w:lang w:val="en-US" w:eastAsia="zh-CN" w:bidi="ar-SA"/>
        </w:rPr>
        <w:t>第</w:t>
      </w:r>
      <w:r>
        <w:rPr>
          <w:rFonts w:hint="eastAsia" w:ascii="Times New Roman Regular" w:hAnsi="Times New Roman Regular" w:eastAsia="黑体" w:cs="Times New Roman Regular"/>
          <w:kern w:val="2"/>
          <w:sz w:val="32"/>
          <w:szCs w:val="32"/>
          <w:lang w:val="en-US" w:eastAsia="zh-CN" w:bidi="ar-SA"/>
        </w:rPr>
        <w:t>二</w:t>
      </w:r>
      <w:r>
        <w:rPr>
          <w:rFonts w:ascii="Times New Roman Regular" w:hAnsi="Times New Roman Regular" w:eastAsia="黑体" w:cs="Times New Roman Regular"/>
          <w:kern w:val="2"/>
          <w:sz w:val="32"/>
          <w:szCs w:val="32"/>
          <w:lang w:val="en-US" w:eastAsia="zh-CN" w:bidi="ar-SA"/>
        </w:rPr>
        <w:t>章 企业</w:t>
      </w:r>
      <w:r>
        <w:rPr>
          <w:rFonts w:hint="eastAsia" w:ascii="Times New Roman Regular" w:hAnsi="Times New Roman Regular" w:eastAsia="黑体" w:cs="Times New Roman Regular"/>
          <w:kern w:val="2"/>
          <w:sz w:val="32"/>
          <w:szCs w:val="32"/>
          <w:lang w:val="en-US" w:eastAsia="zh-CN" w:bidi="ar-SA"/>
        </w:rPr>
        <w:t>数字化水平自测</w:t>
      </w:r>
      <w:r>
        <w:rPr>
          <w:rFonts w:ascii="Times New Roman Regular" w:hAnsi="Times New Roman Regular" w:eastAsia="黑体" w:cs="Times New Roman Regular"/>
          <w:kern w:val="2"/>
          <w:sz w:val="32"/>
          <w:szCs w:val="32"/>
          <w:lang w:val="en-US" w:eastAsia="zh-CN" w:bidi="ar-SA"/>
        </w:rPr>
        <w:t>情况</w:t>
      </w:r>
    </w:p>
    <w:p>
      <w:pPr>
        <w:widowControl w:val="0"/>
        <w:adjustRightInd/>
        <w:snapToGrid/>
        <w:spacing w:line="560" w:lineRule="exact"/>
        <w:ind w:firstLine="640" w:firstLineChars="200"/>
        <w:jc w:val="both"/>
        <w:outlineLvl w:val="1"/>
        <w:rPr>
          <w:rFonts w:hint="eastAsia" w:ascii="Times New Roman Regular" w:hAnsi="Times New Roman Regular" w:eastAsia="仿宋_GB2312" w:cs="Times New Roman Regular"/>
          <w:sz w:val="32"/>
          <w:szCs w:val="24"/>
          <w:lang w:val="en-US" w:eastAsia="zh-CN"/>
          <w14:ligatures w14:val="none"/>
        </w:rPr>
      </w:pPr>
      <w:r>
        <w:rPr>
          <w:rFonts w:hint="eastAsia" w:ascii="Times New Roman Regular" w:hAnsi="Times New Roman Regular" w:eastAsia="仿宋_GB2312" w:cs="Times New Roman Regular"/>
          <w:sz w:val="32"/>
          <w:szCs w:val="24"/>
          <w:lang w:val="en-US" w:eastAsia="zh-CN"/>
          <w14:ligatures w14:val="none"/>
        </w:rPr>
        <w:t>（一）数字水平自评测得分情况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测，</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rPr>
        <w:t>公司数字化基础、管理及成效评测得分为62.21分，具体如</w:t>
      </w:r>
      <w:r>
        <w:rPr>
          <w:rFonts w:hint="eastAsia" w:ascii="仿宋_GB2312" w:hAnsi="仿宋_GB2312" w:eastAsia="仿宋_GB2312" w:cs="仿宋_GB2312"/>
          <w:sz w:val="32"/>
          <w:szCs w:val="32"/>
          <w:lang w:val="en-US" w:eastAsia="zh-CN"/>
        </w:rPr>
        <w:t>表1</w:t>
      </w:r>
      <w:r>
        <w:rPr>
          <w:rFonts w:hint="eastAsia" w:ascii="仿宋_GB2312" w:hAnsi="仿宋_GB2312" w:eastAsia="仿宋_GB2312" w:cs="仿宋_GB2312"/>
          <w:sz w:val="32"/>
          <w:szCs w:val="32"/>
        </w:rPr>
        <w:t>:</w:t>
      </w:r>
    </w:p>
    <w:p>
      <w:pPr>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数字化基础、管理和成效得分汇总表</w:t>
      </w:r>
    </w:p>
    <w:tbl>
      <w:tblPr>
        <w:tblStyle w:val="14"/>
        <w:tblW w:w="8884" w:type="dxa"/>
        <w:jc w:val="center"/>
        <w:tblLayout w:type="autofit"/>
        <w:tblCellMar>
          <w:top w:w="0" w:type="dxa"/>
          <w:left w:w="108" w:type="dxa"/>
          <w:bottom w:w="0" w:type="dxa"/>
          <w:right w:w="108" w:type="dxa"/>
        </w:tblCellMar>
      </w:tblPr>
      <w:tblGrid>
        <w:gridCol w:w="983"/>
        <w:gridCol w:w="917"/>
        <w:gridCol w:w="950"/>
        <w:gridCol w:w="917"/>
        <w:gridCol w:w="1316"/>
        <w:gridCol w:w="1167"/>
        <w:gridCol w:w="1417"/>
        <w:gridCol w:w="1217"/>
      </w:tblGrid>
      <w:tr>
        <w:tblPrEx>
          <w:tblCellMar>
            <w:top w:w="0" w:type="dxa"/>
            <w:left w:w="108" w:type="dxa"/>
            <w:bottom w:w="0" w:type="dxa"/>
            <w:right w:w="108" w:type="dxa"/>
          </w:tblCellMar>
        </w:tblPrEx>
        <w:trPr>
          <w:trHeight w:val="690" w:hRule="atLeast"/>
          <w:jc w:val="center"/>
        </w:trPr>
        <w:tc>
          <w:tcPr>
            <w:tcW w:w="983" w:type="dxa"/>
            <w:vMerge w:val="restart"/>
            <w:tcBorders>
              <w:top w:val="single" w:color="000000" w:sz="4" w:space="0"/>
              <w:left w:val="single" w:color="000000" w:sz="4" w:space="0"/>
              <w:right w:val="single" w:color="000000" w:sz="4" w:space="0"/>
              <w:tl2br w:val="nil"/>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数字化基础、管理及成效得分</w:t>
            </w:r>
          </w:p>
        </w:tc>
        <w:tc>
          <w:tcPr>
            <w:tcW w:w="917"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bCs/>
                <w:color w:val="000000"/>
                <w:kern w:val="0"/>
                <w:sz w:val="24"/>
                <w:lang w:bidi="ar"/>
              </w:rPr>
            </w:pPr>
            <w:r>
              <w:rPr>
                <w:rFonts w:hint="eastAsia" w:ascii="仿宋_GB2312" w:hAnsi="宋体" w:eastAsia="仿宋_GB2312" w:cs="仿宋_GB2312"/>
                <w:bCs/>
                <w:color w:val="000000"/>
                <w:kern w:val="0"/>
                <w:sz w:val="24"/>
                <w:lang w:bidi="ar"/>
              </w:rPr>
              <w:t>总分</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bCs/>
                <w:color w:val="000000"/>
                <w:kern w:val="0"/>
                <w:sz w:val="24"/>
                <w:lang w:bidi="ar"/>
              </w:rPr>
            </w:pPr>
            <w:r>
              <w:rPr>
                <w:rFonts w:hint="eastAsia" w:ascii="仿宋_GB2312" w:hAnsi="宋体" w:eastAsia="仿宋_GB2312" w:cs="仿宋_GB2312"/>
                <w:bCs/>
                <w:color w:val="000000"/>
                <w:kern w:val="0"/>
                <w:sz w:val="24"/>
                <w:lang w:bidi="ar"/>
              </w:rPr>
              <w:t>一级</w:t>
            </w:r>
          </w:p>
          <w:p>
            <w:pPr>
              <w:adjustRightInd w:val="0"/>
              <w:snapToGrid w:val="0"/>
              <w:spacing w:line="240" w:lineRule="auto"/>
              <w:jc w:val="center"/>
              <w:textAlignment w:val="center"/>
              <w:rPr>
                <w:rFonts w:hint="eastAsia" w:ascii="仿宋_GB2312" w:hAnsi="宋体" w:eastAsia="仿宋_GB2312" w:cs="仿宋_GB2312"/>
                <w:bCs/>
                <w:color w:val="000000"/>
                <w:sz w:val="24"/>
              </w:rPr>
            </w:pPr>
            <w:r>
              <w:rPr>
                <w:rFonts w:hint="eastAsia" w:ascii="仿宋_GB2312" w:hAnsi="宋体" w:eastAsia="仿宋_GB2312" w:cs="仿宋_GB2312"/>
                <w:bCs/>
                <w:color w:val="000000"/>
                <w:kern w:val="0"/>
                <w:sz w:val="24"/>
                <w:lang w:bidi="ar"/>
              </w:rPr>
              <w:t>指标</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bCs/>
                <w:color w:val="000000"/>
                <w:sz w:val="24"/>
              </w:rPr>
            </w:pPr>
            <w:r>
              <w:rPr>
                <w:rFonts w:hint="eastAsia" w:ascii="仿宋_GB2312" w:hAnsi="宋体" w:eastAsia="仿宋_GB2312" w:cs="仿宋_GB2312"/>
                <w:bCs/>
                <w:color w:val="000000"/>
                <w:kern w:val="0"/>
                <w:sz w:val="24"/>
                <w:lang w:bidi="ar"/>
              </w:rPr>
              <w:t>一级得分</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bCs/>
                <w:color w:val="000000"/>
                <w:kern w:val="0"/>
                <w:sz w:val="24"/>
                <w:lang w:bidi="ar"/>
              </w:rPr>
            </w:pPr>
            <w:r>
              <w:rPr>
                <w:rFonts w:hint="eastAsia" w:ascii="仿宋_GB2312" w:hAnsi="宋体" w:eastAsia="仿宋_GB2312" w:cs="仿宋_GB2312"/>
                <w:bCs/>
                <w:color w:val="000000"/>
                <w:kern w:val="0"/>
                <w:sz w:val="24"/>
                <w:lang w:bidi="ar"/>
              </w:rPr>
              <w:t>二级</w:t>
            </w:r>
          </w:p>
          <w:p>
            <w:pPr>
              <w:adjustRightInd w:val="0"/>
              <w:snapToGrid w:val="0"/>
              <w:spacing w:line="240" w:lineRule="auto"/>
              <w:jc w:val="center"/>
              <w:textAlignment w:val="center"/>
              <w:rPr>
                <w:rFonts w:hint="eastAsia" w:ascii="仿宋_GB2312" w:hAnsi="宋体" w:eastAsia="仿宋_GB2312" w:cs="仿宋_GB2312"/>
                <w:bCs/>
                <w:color w:val="000000"/>
                <w:sz w:val="24"/>
              </w:rPr>
            </w:pPr>
            <w:r>
              <w:rPr>
                <w:rFonts w:hint="eastAsia" w:ascii="仿宋_GB2312" w:hAnsi="宋体" w:eastAsia="仿宋_GB2312" w:cs="仿宋_GB2312"/>
                <w:bCs/>
                <w:color w:val="000000"/>
                <w:kern w:val="0"/>
                <w:sz w:val="24"/>
                <w:lang w:bidi="ar"/>
              </w:rPr>
              <w:t>指标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bCs/>
                <w:color w:val="000000"/>
                <w:kern w:val="0"/>
                <w:sz w:val="24"/>
                <w:lang w:bidi="ar"/>
              </w:rPr>
            </w:pPr>
            <w:r>
              <w:rPr>
                <w:rFonts w:hint="eastAsia" w:ascii="仿宋_GB2312" w:hAnsi="宋体" w:eastAsia="仿宋_GB2312" w:cs="仿宋_GB2312"/>
                <w:bCs/>
                <w:color w:val="000000"/>
                <w:kern w:val="0"/>
                <w:sz w:val="24"/>
                <w:lang w:bidi="ar"/>
              </w:rPr>
              <w:t>二级</w:t>
            </w:r>
          </w:p>
          <w:p>
            <w:pPr>
              <w:adjustRightInd w:val="0"/>
              <w:snapToGrid w:val="0"/>
              <w:spacing w:line="240" w:lineRule="auto"/>
              <w:jc w:val="center"/>
              <w:textAlignment w:val="center"/>
              <w:rPr>
                <w:rFonts w:hint="eastAsia" w:ascii="仿宋_GB2312" w:hAnsi="宋体" w:eastAsia="仿宋_GB2312" w:cs="仿宋_GB2312"/>
                <w:bCs/>
                <w:color w:val="000000"/>
                <w:sz w:val="24"/>
              </w:rPr>
            </w:pPr>
            <w:r>
              <w:rPr>
                <w:rFonts w:hint="eastAsia" w:ascii="仿宋_GB2312" w:hAnsi="宋体" w:eastAsia="仿宋_GB2312" w:cs="仿宋_GB2312"/>
                <w:bCs/>
                <w:color w:val="000000"/>
                <w:kern w:val="0"/>
                <w:sz w:val="24"/>
                <w:lang w:bidi="ar"/>
              </w:rPr>
              <w:t>得分</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bCs/>
                <w:color w:val="000000"/>
                <w:kern w:val="0"/>
                <w:sz w:val="24"/>
                <w:lang w:bidi="ar"/>
              </w:rPr>
            </w:pPr>
            <w:r>
              <w:rPr>
                <w:rFonts w:hint="eastAsia" w:ascii="仿宋_GB2312" w:hAnsi="宋体" w:eastAsia="仿宋_GB2312" w:cs="仿宋_GB2312"/>
                <w:bCs/>
                <w:color w:val="000000"/>
                <w:kern w:val="0"/>
                <w:sz w:val="24"/>
                <w:lang w:bidi="ar"/>
              </w:rPr>
              <w:t>三级</w:t>
            </w:r>
          </w:p>
          <w:p>
            <w:pPr>
              <w:adjustRightInd w:val="0"/>
              <w:snapToGrid w:val="0"/>
              <w:spacing w:line="240" w:lineRule="auto"/>
              <w:jc w:val="center"/>
              <w:textAlignment w:val="center"/>
              <w:rPr>
                <w:rFonts w:hint="eastAsia" w:ascii="仿宋_GB2312" w:hAnsi="宋体" w:eastAsia="仿宋_GB2312" w:cs="仿宋_GB2312"/>
                <w:bCs/>
                <w:color w:val="000000"/>
                <w:sz w:val="24"/>
              </w:rPr>
            </w:pPr>
            <w:r>
              <w:rPr>
                <w:rFonts w:hint="eastAsia" w:ascii="仿宋_GB2312" w:hAnsi="宋体" w:eastAsia="仿宋_GB2312" w:cs="仿宋_GB2312"/>
                <w:bCs/>
                <w:color w:val="000000"/>
                <w:kern w:val="0"/>
                <w:sz w:val="24"/>
                <w:lang w:bidi="ar"/>
              </w:rPr>
              <w:t>指标</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bCs/>
                <w:color w:val="000000"/>
                <w:kern w:val="0"/>
                <w:sz w:val="24"/>
                <w:lang w:bidi="ar"/>
              </w:rPr>
            </w:pPr>
            <w:r>
              <w:rPr>
                <w:rFonts w:hint="eastAsia" w:ascii="仿宋_GB2312" w:hAnsi="宋体" w:eastAsia="仿宋_GB2312" w:cs="仿宋_GB2312"/>
                <w:bCs/>
                <w:color w:val="000000"/>
                <w:kern w:val="0"/>
                <w:sz w:val="24"/>
                <w:lang w:bidi="ar"/>
              </w:rPr>
              <w:t>三级</w:t>
            </w:r>
          </w:p>
          <w:p>
            <w:pPr>
              <w:adjustRightInd w:val="0"/>
              <w:snapToGrid w:val="0"/>
              <w:spacing w:line="240" w:lineRule="auto"/>
              <w:jc w:val="center"/>
              <w:textAlignment w:val="center"/>
              <w:rPr>
                <w:rFonts w:hint="eastAsia" w:ascii="仿宋_GB2312" w:hAnsi="宋体" w:eastAsia="仿宋_GB2312" w:cs="仿宋_GB2312"/>
                <w:bCs/>
                <w:color w:val="000000"/>
                <w:sz w:val="24"/>
              </w:rPr>
            </w:pPr>
            <w:r>
              <w:rPr>
                <w:rFonts w:hint="eastAsia" w:ascii="仿宋_GB2312" w:hAnsi="宋体" w:eastAsia="仿宋_GB2312" w:cs="仿宋_GB2312"/>
                <w:bCs/>
                <w:color w:val="000000"/>
                <w:kern w:val="0"/>
                <w:sz w:val="24"/>
                <w:lang w:bidi="ar"/>
              </w:rPr>
              <w:t>得分</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62.212 </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数字化基础</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29.712</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设备系统</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14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网络建设</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2 </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pacing w:val="-20"/>
                <w:kern w:val="0"/>
                <w:sz w:val="24"/>
                <w:lang w:bidi="ar"/>
              </w:rPr>
              <w:t>设备数字化</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6 </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设备联网</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6 </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数据采集</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5.712</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数据采集</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5.712</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信息系统</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信息系统</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5</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信息安全</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5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网络安全</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2.5</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数据安全</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2.5</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数字化管理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19.5</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规划管理</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15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规划实施</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7.5 </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管理机制</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7.5</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要素保障</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4.5</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人才建设</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4.5</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资金保障</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0 </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数字化成效</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绿色低碳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绿色低碳</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3.5</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产品质量</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产品质量</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3.5</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市场效益</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市场表现</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3</w:t>
            </w:r>
          </w:p>
        </w:tc>
      </w:tr>
      <w:tr>
        <w:tblPrEx>
          <w:tblCellMar>
            <w:top w:w="0" w:type="dxa"/>
            <w:left w:w="108" w:type="dxa"/>
            <w:bottom w:w="0" w:type="dxa"/>
            <w:right w:w="108" w:type="dxa"/>
          </w:tblCellMar>
        </w:tblPrEx>
        <w:trPr>
          <w:trHeight w:val="240" w:hRule="atLeast"/>
          <w:jc w:val="center"/>
        </w:trPr>
        <w:tc>
          <w:tcPr>
            <w:tcW w:w="983" w:type="dxa"/>
            <w:vMerge w:val="continue"/>
            <w:tcBorders>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both"/>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rPr>
                <w:rFonts w:hint="eastAsia" w:ascii="仿宋_GB2312" w:hAnsi="宋体" w:eastAsia="仿宋_GB2312" w:cs="仿宋_GB2312"/>
                <w:color w:val="00000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价值效益</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3</w:t>
            </w:r>
          </w:p>
        </w:tc>
      </w:tr>
      <w:tr>
        <w:tblPrEx>
          <w:tblCellMar>
            <w:top w:w="0" w:type="dxa"/>
            <w:left w:w="108" w:type="dxa"/>
            <w:bottom w:w="0" w:type="dxa"/>
            <w:right w:w="108" w:type="dxa"/>
          </w:tblCellMar>
        </w:tblPrEx>
        <w:trPr>
          <w:trHeight w:val="715" w:hRule="atLeast"/>
          <w:jc w:val="center"/>
        </w:trPr>
        <w:tc>
          <w:tcPr>
            <w:tcW w:w="8884" w:type="dxa"/>
            <w:gridSpan w:val="8"/>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adjustRightInd w:val="0"/>
              <w:snapToGrid w:val="0"/>
              <w:spacing w:line="240"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b/>
                <w:bCs/>
                <w:color w:val="000000"/>
                <w:kern w:val="0"/>
                <w:sz w:val="24"/>
                <w:lang w:bidi="ar"/>
              </w:rPr>
              <w:t>满足</w:t>
            </w:r>
            <w:r>
              <w:rPr>
                <w:rFonts w:hint="eastAsia" w:ascii="仿宋_GB2312" w:hAnsi="宋体" w:eastAsia="仿宋_GB2312" w:cs="仿宋_GB2312"/>
                <w:b/>
                <w:bCs/>
                <w:color w:val="000000"/>
                <w:kern w:val="0"/>
                <w:sz w:val="24"/>
                <w:lang w:val="en-US" w:eastAsia="zh-CN" w:bidi="ar"/>
              </w:rPr>
              <w:t>三</w:t>
            </w:r>
            <w:r>
              <w:rPr>
                <w:rFonts w:hint="eastAsia" w:ascii="仿宋_GB2312" w:hAnsi="宋体" w:eastAsia="仿宋_GB2312" w:cs="仿宋_GB2312"/>
                <w:b/>
                <w:bCs/>
                <w:color w:val="000000"/>
                <w:kern w:val="0"/>
                <w:sz w:val="24"/>
                <w:lang w:bidi="ar"/>
              </w:rPr>
              <w:t>级要求</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val="0"/>
        <w:adjustRightInd/>
        <w:snapToGrid/>
        <w:spacing w:line="560" w:lineRule="exact"/>
        <w:ind w:firstLine="640" w:firstLineChars="200"/>
        <w:jc w:val="both"/>
        <w:outlineLvl w:val="1"/>
        <w:rPr>
          <w:rFonts w:hint="eastAsia" w:ascii="Times New Roman Regular" w:hAnsi="Times New Roman Regular" w:eastAsia="仿宋_GB2312" w:cs="Times New Roman Regular"/>
          <w:sz w:val="32"/>
          <w:szCs w:val="24"/>
          <w:lang w:val="en-US" w:eastAsia="zh-CN"/>
          <w14:ligatures w14:val="none"/>
        </w:rPr>
      </w:pPr>
      <w:r>
        <w:rPr>
          <w:rFonts w:hint="eastAsia" w:ascii="Times New Roman Regular" w:hAnsi="Times New Roman Regular" w:eastAsia="仿宋_GB2312" w:cs="Times New Roman Regular"/>
          <w:sz w:val="32"/>
          <w:szCs w:val="24"/>
          <w:lang w:val="en-US" w:eastAsia="zh-CN"/>
          <w14:ligatures w14:val="none"/>
        </w:rPr>
        <w:t>（二）数字化经营应用场景等级自评测判定情况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三级以上场景：8个，其中约束性场景7个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具体见表2。</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数字化经营应用场景分项判定明细表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02"/>
        <w:gridCol w:w="1213"/>
        <w:gridCol w:w="3631"/>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02" w:type="dxa"/>
            <w:vAlign w:val="center"/>
          </w:tcPr>
          <w:p>
            <w:pPr>
              <w:adjustRightInd w:val="0"/>
              <w:snapToGrid w:val="0"/>
              <w:spacing w:line="24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场景名称</w:t>
            </w:r>
          </w:p>
        </w:tc>
        <w:tc>
          <w:tcPr>
            <w:tcW w:w="1213" w:type="dxa"/>
            <w:vAlign w:val="center"/>
          </w:tcPr>
          <w:p>
            <w:pPr>
              <w:adjustRightInd w:val="0"/>
              <w:snapToGrid w:val="0"/>
              <w:spacing w:line="24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场景类型</w:t>
            </w:r>
          </w:p>
        </w:tc>
        <w:tc>
          <w:tcPr>
            <w:tcW w:w="3631" w:type="dxa"/>
            <w:vAlign w:val="center"/>
          </w:tcPr>
          <w:p>
            <w:pPr>
              <w:adjustRightInd w:val="0"/>
              <w:snapToGrid w:val="0"/>
              <w:spacing w:line="24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场景建设实际情况简介</w:t>
            </w:r>
          </w:p>
        </w:tc>
        <w:tc>
          <w:tcPr>
            <w:tcW w:w="1693" w:type="dxa"/>
            <w:vAlign w:val="center"/>
          </w:tcPr>
          <w:p>
            <w:pPr>
              <w:adjustRightInd w:val="0"/>
              <w:snapToGrid w:val="0"/>
              <w:spacing w:line="24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水平等级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产品设计*</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工艺设计</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营销管理*</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基于销售信息化系统实现对营销信息（如销售计划、销售订单、销售运行、客户信息或销售业绩等）的实时管控，实现销售信息化系统与生产、库存、财务等系统的数字化协同。</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售后服务</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运用信息化系统实现售后服务流程的数字化、规范化管理，并与设计、工艺、生产、销售部门进行信息共享。</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二级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（规范级）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计划排程</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应用信息技术工具（如电子表格、云存储等）辅助人工编制生产计划。</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一级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（初始级）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生产管控*</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应用信息化系统对生产工单信息、工艺参数进行数据采集，实现对生产过程中工单、物料、设备等的管控，实现信息化系统与其他系统（如生产计划、质量或设备等）的协同，实现数据共享。</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实现生产过程质量数据的数字化采集录入、统计与管理，基于信息化系统实现质量管理流程的规范化管理。</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二级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（规范级）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设备管理*</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基于信息化系统实现设备关键运行参数数据的实时采集、故障分析和远程诊断，并依据设备关键运行参数等，实现设备综合效率（OEE）统计。</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安全生产*</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实现危险废物存储、运输的全流程信息化管理，实现安全生产风险实时报警，建立安全应急预案，实现安全事故处理与相关部门及时协同。</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能耗管理*</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应用信息技术工具（如电子表格、云存储等）辅助人工进行能耗数据记录。</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一级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（初始级）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采购管理*</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实现供应商管理、询报比价、采购计划、采购执行的全过程管理，实现应用采购信息化系统与生产、仓储、财务等信息化系统的数字化协同。</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仓储物流*</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实现仓储管理信息化系统与生产、采购、财务等信息化系统的数字化协同。</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财务管理*</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约束性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实现业务数据与财务管理的协同，能支持企业的管理会计核算，实现通过财务的分析辅助决策，帮助企业快速掌握资产、负债、收入、成本、盈利能力等变动和使用情况，实现资产的优化配置和利用。</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人力资源</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基于信息化系统实现对考勤和薪酬福利等核心流程的规范化管理。</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二级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（规范级）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协同办公</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应用协同平台实现与财务、采购、生产、项目管理等专业业务管理系统集成，实现数据共享和业务流程的无缝对接，且利用移动工具，提升跨部门协作效率和响应速度。</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（集成级）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7"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130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决策支持</w:t>
            </w:r>
          </w:p>
        </w:tc>
        <w:tc>
          <w:tcPr>
            <w:tcW w:w="121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指导性</w:t>
            </w:r>
          </w:p>
        </w:tc>
        <w:tc>
          <w:tcPr>
            <w:tcW w:w="3631" w:type="dxa"/>
            <w:shd w:val="clear" w:color="auto" w:fill="auto"/>
            <w:vAlign w:val="center"/>
          </w:tcPr>
          <w:p>
            <w:pPr>
              <w:adjustRightInd w:val="0"/>
              <w:snapToGrid w:val="0"/>
              <w:spacing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运用信息化系统，整合关键业务环节的数据，使用业务关联分析和决策支持工具，提供直观的可视化数据。</w:t>
            </w:r>
          </w:p>
        </w:tc>
        <w:tc>
          <w:tcPr>
            <w:tcW w:w="1693"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二级</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（规范级）</w:t>
            </w:r>
          </w:p>
        </w:tc>
      </w:tr>
    </w:tbl>
    <w:p>
      <w:pPr>
        <w:rPr>
          <w:rFonts w:hint="eastAsia" w:ascii="仿宋_GB2312" w:hAnsi="仿宋_GB2312" w:eastAsia="仿宋_GB2312" w:cs="仿宋_GB231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333333"/>
          <w:spacing w:val="0"/>
          <w:sz w:val="32"/>
          <w:szCs w:val="32"/>
          <w:highlight w:val="none"/>
          <w:shd w:val="clear" w:color="auto" w:fill="FFFFFF"/>
        </w:rPr>
      </w:pPr>
    </w:p>
    <w:p>
      <w:pPr>
        <w:keepNext/>
        <w:keepLines w:val="0"/>
        <w:pageBreakBefore w:val="0"/>
        <w:widowControl/>
        <w:suppressLineNumbers w:val="0"/>
        <w:pBdr>
          <w:top w:val="none" w:color="auto" w:sz="0" w:space="0"/>
          <w:left w:val="none" w:color="auto" w:sz="0" w:space="0"/>
          <w:right w:val="none" w:color="auto" w:sz="0" w:space="0"/>
        </w:pBdr>
        <w:shd w:val="clear" w:color="auto"/>
        <w:overflowPunct/>
        <w:topLinePunct w:val="0"/>
        <w:bidi w:val="0"/>
        <w:spacing w:before="0" w:beforeAutospacing="0" w:after="0" w:afterAutospacing="0" w:line="540" w:lineRule="exact"/>
        <w:ind w:left="0" w:right="0" w:firstLine="640" w:firstLineChars="200"/>
        <w:jc w:val="center"/>
        <w:outlineLvl w:val="0"/>
        <w:rPr>
          <w:rFonts w:hint="eastAsia" w:ascii="楷体" w:hAnsi="楷体" w:eastAsia="楷体" w:cs="楷体"/>
          <w:i w:val="0"/>
          <w:iCs w:val="0"/>
          <w:caps w:val="0"/>
          <w:color w:val="333333"/>
          <w:spacing w:val="0"/>
          <w:sz w:val="32"/>
          <w:szCs w:val="32"/>
          <w:highlight w:val="none"/>
          <w:shd w:val="clear" w:color="auto" w:fill="FFFFFF"/>
        </w:rPr>
      </w:pPr>
      <w:r>
        <w:rPr>
          <w:rFonts w:hint="eastAsia" w:ascii="Times New Roman Regular" w:hAnsi="Times New Roman Regular" w:eastAsia="黑体" w:cs="Times New Roman Regular"/>
          <w:kern w:val="2"/>
          <w:sz w:val="32"/>
          <w:szCs w:val="32"/>
          <w:lang w:val="en-US" w:eastAsia="zh-CN" w:bidi="ar-SA"/>
        </w:rPr>
        <w:t>第三章 企业数字化水平自评测佐证材料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333333"/>
          <w:spacing w:val="0"/>
          <w:sz w:val="32"/>
          <w:szCs w:val="32"/>
          <w:highlight w:val="none"/>
          <w:shd w:val="clear" w:color="auto" w:fill="FFFFFF"/>
        </w:rPr>
      </w:pPr>
      <w:r>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t>按照《中小企业数字化转型试点城市试点企业数字化水平评测指南（2024年版）》中的评测内容，按照</w:t>
      </w:r>
      <w:r>
        <w:rPr>
          <w:rFonts w:hint="eastAsia" w:ascii="仿宋_GB2312" w:hAnsi="微软雅黑" w:eastAsia="仿宋_GB2312" w:cs="仿宋_GB2312"/>
          <w:snapToGrid/>
          <w:color w:val="333333"/>
          <w:sz w:val="32"/>
          <w:szCs w:val="32"/>
          <w:highlight w:val="none"/>
          <w:shd w:val="clear" w:color="auto" w:fill="FFFFFF"/>
        </w:rPr>
        <w:t>从数字化基础、</w:t>
      </w:r>
      <w:r>
        <w:rPr>
          <w:rFonts w:hint="eastAsia" w:ascii="仿宋_GB2312" w:hAnsi="微软雅黑" w:eastAsia="仿宋_GB2312" w:cs="仿宋_GB2312"/>
          <w:snapToGrid/>
          <w:color w:val="333333"/>
          <w:sz w:val="32"/>
          <w:szCs w:val="32"/>
          <w:highlight w:val="none"/>
          <w:shd w:val="clear" w:color="auto" w:fill="FFFFFF"/>
          <w:lang w:val="en-US" w:eastAsia="zh-CN"/>
        </w:rPr>
        <w:t>数字化管理、</w:t>
      </w:r>
      <w:r>
        <w:rPr>
          <w:rFonts w:hint="eastAsia" w:ascii="仿宋_GB2312" w:hAnsi="微软雅黑" w:eastAsia="仿宋_GB2312" w:cs="仿宋_GB2312"/>
          <w:snapToGrid/>
          <w:color w:val="333333"/>
          <w:sz w:val="32"/>
          <w:szCs w:val="32"/>
          <w:highlight w:val="none"/>
          <w:shd w:val="clear" w:color="auto" w:fill="FFFFFF"/>
        </w:rPr>
        <w:t>数字化成效等</w:t>
      </w:r>
      <w:r>
        <w:rPr>
          <w:rFonts w:hint="eastAsia" w:ascii="仿宋_GB2312" w:hAnsi="微软雅黑" w:eastAsia="仿宋_GB2312" w:cs="仿宋_GB2312"/>
          <w:snapToGrid/>
          <w:color w:val="333333"/>
          <w:sz w:val="32"/>
          <w:szCs w:val="32"/>
          <w:highlight w:val="none"/>
          <w:shd w:val="clear" w:color="auto" w:fill="FFFFFF"/>
          <w:lang w:val="en-US" w:eastAsia="zh-CN"/>
        </w:rPr>
        <w:t>维度</w:t>
      </w:r>
      <w:r>
        <w:rPr>
          <w:rFonts w:hint="eastAsia" w:ascii="仿宋_GB2312" w:hAnsi="微软雅黑" w:eastAsia="仿宋_GB2312" w:cs="仿宋_GB2312"/>
          <w:snapToGrid/>
          <w:color w:val="333333"/>
          <w:sz w:val="32"/>
          <w:szCs w:val="32"/>
          <w:highlight w:val="none"/>
          <w:shd w:val="clear" w:color="auto" w:fill="FFFFFF"/>
        </w:rPr>
        <w:t>评估指标</w:t>
      </w:r>
      <w:r>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t>逐一总结，包括但不限于</w:t>
      </w:r>
      <w:r>
        <w:rPr>
          <w:rFonts w:hint="eastAsia" w:ascii="仿宋_GB2312" w:hAnsi="微软雅黑" w:eastAsia="仿宋_GB2312" w:cs="仿宋_GB2312"/>
          <w:i w:val="0"/>
          <w:iCs w:val="0"/>
          <w:caps w:val="0"/>
          <w:color w:val="333333"/>
          <w:spacing w:val="0"/>
          <w:sz w:val="32"/>
          <w:szCs w:val="32"/>
          <w:highlight w:val="none"/>
          <w:shd w:val="clear" w:color="auto" w:fill="FFFFFF"/>
        </w:rPr>
        <w:t>包括主要建设内容</w:t>
      </w:r>
      <w:r>
        <w:rPr>
          <w:rFonts w:hint="eastAsia" w:ascii="仿宋_GB2312" w:hAnsi="微软雅黑" w:eastAsia="仿宋_GB2312" w:cs="仿宋_GB2312"/>
          <w:i w:val="0"/>
          <w:iCs w:val="0"/>
          <w:caps w:val="0"/>
          <w:color w:val="333333"/>
          <w:spacing w:val="0"/>
          <w:sz w:val="32"/>
          <w:szCs w:val="32"/>
          <w:highlight w:val="none"/>
          <w:shd w:val="clear" w:color="auto" w:fill="FFFFFF"/>
          <w:lang w:eastAsia="zh-CN"/>
        </w:rPr>
        <w:t>（</w:t>
      </w:r>
      <w:r>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t>对应场景</w:t>
      </w:r>
      <w:r>
        <w:rPr>
          <w:rFonts w:hint="eastAsia" w:ascii="仿宋_GB2312" w:hAnsi="微软雅黑" w:eastAsia="仿宋_GB2312" w:cs="仿宋_GB2312"/>
          <w:i w:val="0"/>
          <w:iCs w:val="0"/>
          <w:caps w:val="0"/>
          <w:color w:val="333333"/>
          <w:spacing w:val="0"/>
          <w:sz w:val="32"/>
          <w:szCs w:val="32"/>
          <w:highlight w:val="none"/>
          <w:shd w:val="clear" w:color="auto" w:fill="FFFFFF"/>
          <w:lang w:eastAsia="zh-CN"/>
        </w:rPr>
        <w:t>）</w:t>
      </w:r>
      <w:r>
        <w:rPr>
          <w:rFonts w:hint="eastAsia" w:ascii="仿宋_GB2312" w:hAnsi="微软雅黑" w:eastAsia="仿宋_GB2312" w:cs="仿宋_GB2312"/>
          <w:i w:val="0"/>
          <w:iCs w:val="0"/>
          <w:caps w:val="0"/>
          <w:color w:val="333333"/>
          <w:spacing w:val="0"/>
          <w:sz w:val="32"/>
          <w:szCs w:val="32"/>
          <w:highlight w:val="none"/>
          <w:shd w:val="clear" w:color="auto" w:fill="FFFFFF"/>
        </w:rPr>
        <w:t>、实现的功能、达到的性能、设备和系统部署情况、运行情况、具体成效等，不少于1000字</w:t>
      </w:r>
      <w:r>
        <w:rPr>
          <w:rFonts w:hint="eastAsia" w:ascii="仿宋_GB2312" w:hAnsi="微软雅黑" w:eastAsia="仿宋_GB2312" w:cs="仿宋_GB2312"/>
          <w:i w:val="0"/>
          <w:iCs w:val="0"/>
          <w:caps w:val="0"/>
          <w:color w:val="333333"/>
          <w:spacing w:val="0"/>
          <w:sz w:val="32"/>
          <w:szCs w:val="32"/>
          <w:highlight w:val="none"/>
          <w:shd w:val="clear" w:color="auto" w:fill="FFFFFF"/>
          <w:lang w:eastAsia="zh-CN"/>
        </w:rPr>
        <w:t>（</w:t>
      </w:r>
      <w:r>
        <w:rPr>
          <w:rFonts w:hint="eastAsia" w:ascii="仿宋_GB2312" w:hAnsi="微软雅黑" w:eastAsia="仿宋_GB2312" w:cs="仿宋_GB2312"/>
          <w:snapToGrid/>
          <w:color w:val="333333"/>
          <w:sz w:val="32"/>
          <w:szCs w:val="32"/>
          <w:highlight w:val="none"/>
          <w:shd w:val="clear" w:color="auto" w:fill="FFFFFF"/>
        </w:rPr>
        <w:t>以</w:t>
      </w:r>
      <w:r>
        <w:rPr>
          <w:rFonts w:hint="eastAsia" w:ascii="仿宋_GB2312" w:hAnsi="微软雅黑" w:eastAsia="仿宋_GB2312" w:cs="仿宋_GB2312"/>
          <w:snapToGrid/>
          <w:color w:val="333333"/>
          <w:sz w:val="32"/>
          <w:szCs w:val="32"/>
          <w:highlight w:val="none"/>
          <w:shd w:val="clear" w:color="auto" w:fill="FFFFFF"/>
          <w:lang w:val="en-US" w:eastAsia="zh-CN"/>
        </w:rPr>
        <w:t>精练</w:t>
      </w:r>
      <w:r>
        <w:rPr>
          <w:rFonts w:hint="eastAsia" w:ascii="仿宋_GB2312" w:hAnsi="微软雅黑" w:eastAsia="仿宋_GB2312" w:cs="仿宋_GB2312"/>
          <w:snapToGrid/>
          <w:color w:val="333333"/>
          <w:sz w:val="32"/>
          <w:szCs w:val="32"/>
          <w:highlight w:val="none"/>
          <w:shd w:val="clear" w:color="auto" w:fill="FFFFFF"/>
        </w:rPr>
        <w:t>的文字、清晰的图片或截图等形式描述项目数字化建设实际内容</w:t>
      </w:r>
      <w:r>
        <w:rPr>
          <w:rFonts w:hint="eastAsia" w:ascii="仿宋_GB2312" w:hAnsi="微软雅黑" w:eastAsia="仿宋_GB2312" w:cs="仿宋_GB2312"/>
          <w:snapToGrid/>
          <w:color w:val="333333"/>
          <w:sz w:val="32"/>
          <w:szCs w:val="32"/>
          <w:highlight w:val="none"/>
          <w:shd w:val="clear" w:color="auto" w:fill="FFFFFF"/>
          <w:lang w:eastAsia="zh-CN"/>
        </w:rPr>
        <w:t>，</w:t>
      </w:r>
      <w:r>
        <w:rPr>
          <w:rFonts w:hint="eastAsia" w:ascii="仿宋_GB2312" w:hAnsi="微软雅黑" w:eastAsia="仿宋_GB2312" w:cs="仿宋_GB2312"/>
          <w:snapToGrid/>
          <w:color w:val="333333"/>
          <w:sz w:val="32"/>
          <w:szCs w:val="32"/>
          <w:highlight w:val="none"/>
          <w:shd w:val="clear" w:color="auto" w:fill="FFFFFF"/>
          <w:lang w:val="en-US" w:eastAsia="zh-CN"/>
        </w:rPr>
        <w:t>与自评估报告中各项佐证材料索引进行对应</w:t>
      </w:r>
      <w:r>
        <w:rPr>
          <w:rFonts w:hint="eastAsia" w:ascii="仿宋_GB2312" w:hAnsi="微软雅黑" w:eastAsia="仿宋_GB2312" w:cs="仿宋_GB2312"/>
          <w:i w:val="0"/>
          <w:iCs w:val="0"/>
          <w:caps w:val="0"/>
          <w:color w:val="333333"/>
          <w:spacing w:val="0"/>
          <w:sz w:val="32"/>
          <w:szCs w:val="32"/>
          <w:highlight w:val="none"/>
          <w:shd w:val="clear" w:color="auto" w:fill="FFFFFF"/>
          <w:lang w:eastAsia="zh-CN"/>
        </w:rPr>
        <w:t>）</w:t>
      </w:r>
      <w:r>
        <w:rPr>
          <w:rFonts w:hint="eastAsia" w:ascii="仿宋_GB2312" w:hAnsi="微软雅黑" w:eastAsia="仿宋_GB2312" w:cs="仿宋_GB2312"/>
          <w:i w:val="0"/>
          <w:iCs w:val="0"/>
          <w:caps w:val="0"/>
          <w:color w:val="333333"/>
          <w:spacing w:val="0"/>
          <w:sz w:val="32"/>
          <w:szCs w:val="32"/>
          <w:highlight w:val="none"/>
          <w:shd w:val="clear" w:color="auto" w:fill="FFFFFF"/>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right="0" w:rightChars="0"/>
        <w:jc w:val="left"/>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pPr>
      <w:r>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t>（一）数字化基础方面</w:t>
      </w:r>
    </w:p>
    <w:p>
      <w:pPr>
        <w:bidi w:val="0"/>
        <w:rPr>
          <w:rFonts w:hint="eastAsia" w:ascii="仿宋_GB2312" w:hAnsi="仿宋_GB2312" w:eastAsia="仿宋_GB2312" w:cs="仿宋_GB2312"/>
          <w:sz w:val="32"/>
          <w:szCs w:val="32"/>
          <w:lang w:val="en-US" w:eastAsia="zh-CN"/>
        </w:rPr>
      </w:pPr>
      <w:bookmarkStart w:id="7" w:name="_Toc29745"/>
      <w:bookmarkStart w:id="8" w:name="_Toc10265"/>
      <w:r>
        <w:rPr>
          <w:rFonts w:hint="eastAsia" w:ascii="仿宋_GB2312" w:hAnsi="仿宋_GB2312" w:eastAsia="仿宋_GB2312" w:cs="仿宋_GB2312"/>
          <w:sz w:val="32"/>
          <w:szCs w:val="32"/>
          <w:lang w:val="en-US" w:eastAsia="zh-CN"/>
        </w:rPr>
        <w:t>1.网络建设</w:t>
      </w:r>
      <w:bookmarkEnd w:id="7"/>
      <w:bookmarkEnd w:id="8"/>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企业网络建设连接情况：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9" w:name="_Toc8340"/>
      <w:bookmarkStart w:id="10" w:name="_Toc23348"/>
      <w:r>
        <w:rPr>
          <w:rFonts w:hint="eastAsia" w:ascii="仿宋_GB2312" w:hAnsi="仿宋_GB2312" w:eastAsia="仿宋_GB2312" w:cs="仿宋_GB2312"/>
          <w:sz w:val="32"/>
          <w:szCs w:val="32"/>
          <w:lang w:val="en-US" w:eastAsia="zh-CN"/>
        </w:rPr>
        <w:t>2.设备数字化</w:t>
      </w:r>
      <w:bookmarkEnd w:id="9"/>
      <w:bookmarkEnd w:id="10"/>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企业的生产设备数字化率：</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11" w:name="_Toc28870"/>
      <w:bookmarkStart w:id="12" w:name="_Toc21214"/>
      <w:r>
        <w:rPr>
          <w:rFonts w:hint="eastAsia" w:ascii="仿宋_GB2312" w:hAnsi="仿宋_GB2312" w:eastAsia="仿宋_GB2312" w:cs="仿宋_GB2312"/>
          <w:sz w:val="32"/>
          <w:szCs w:val="32"/>
          <w:lang w:val="en-US" w:eastAsia="zh-CN"/>
        </w:rPr>
        <w:t>3.设备联网</w:t>
      </w:r>
      <w:bookmarkEnd w:id="11"/>
      <w:bookmarkEnd w:id="12"/>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企业的生产设备联网率：</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13" w:name="_Toc20403"/>
      <w:bookmarkStart w:id="14" w:name="_Toc4669"/>
      <w:r>
        <w:rPr>
          <w:rFonts w:hint="eastAsia" w:ascii="仿宋_GB2312" w:hAnsi="仿宋_GB2312" w:eastAsia="仿宋_GB2312" w:cs="仿宋_GB2312"/>
          <w:sz w:val="32"/>
          <w:szCs w:val="32"/>
          <w:lang w:val="en-US" w:eastAsia="zh-CN"/>
        </w:rPr>
        <w:t>4.数据采集</w:t>
      </w:r>
      <w:bookmarkEnd w:id="13"/>
      <w:bookmarkEnd w:id="14"/>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企业实现数据自动采集的业务环节覆盖范围：</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15" w:name="_Toc5402"/>
      <w:bookmarkStart w:id="16" w:name="_Toc5549"/>
      <w:r>
        <w:rPr>
          <w:rFonts w:hint="eastAsia" w:ascii="仿宋_GB2312" w:hAnsi="仿宋_GB2312" w:eastAsia="仿宋_GB2312" w:cs="仿宋_GB2312"/>
          <w:sz w:val="32"/>
          <w:szCs w:val="32"/>
          <w:lang w:val="en-US" w:eastAsia="zh-CN"/>
        </w:rPr>
        <w:t>5.信息系统</w:t>
      </w:r>
      <w:bookmarkEnd w:id="15"/>
      <w:bookmarkEnd w:id="16"/>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企业使用本地或云化部署的信息化服务，实现业务的数字化管理情况：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17" w:name="_Toc5738"/>
      <w:bookmarkStart w:id="18" w:name="_Toc16010"/>
      <w:r>
        <w:rPr>
          <w:rFonts w:hint="eastAsia" w:ascii="仿宋_GB2312" w:hAnsi="仿宋_GB2312" w:eastAsia="仿宋_GB2312" w:cs="仿宋_GB2312"/>
          <w:sz w:val="32"/>
          <w:szCs w:val="32"/>
          <w:lang w:val="en-US" w:eastAsia="zh-CN"/>
        </w:rPr>
        <w:t>6.网络安全</w:t>
      </w:r>
      <w:bookmarkEnd w:id="17"/>
      <w:bookmarkEnd w:id="18"/>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企业在保障网络安全方面采取的举措：</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19" w:name="_Toc3414"/>
      <w:bookmarkStart w:id="20" w:name="_Toc27493"/>
      <w:r>
        <w:rPr>
          <w:rFonts w:hint="eastAsia" w:ascii="仿宋_GB2312" w:hAnsi="仿宋_GB2312" w:eastAsia="仿宋_GB2312" w:cs="仿宋_GB2312"/>
          <w:sz w:val="32"/>
          <w:szCs w:val="32"/>
          <w:lang w:val="en-US" w:eastAsia="zh-CN"/>
        </w:rPr>
        <w:t>7.数据安全</w:t>
      </w:r>
      <w:bookmarkEnd w:id="19"/>
      <w:bookmarkEnd w:id="20"/>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企业在保障数据安全方面采取的举措：</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left="640" w:leftChars="0" w:right="0" w:rightChars="0"/>
        <w:jc w:val="left"/>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pPr>
    </w:p>
    <w:p>
      <w:pPr>
        <w:pStyle w:val="11"/>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right="0" w:rightChars="0"/>
        <w:jc w:val="left"/>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pPr>
      <w:r>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t>数字化管理方面</w:t>
      </w:r>
    </w:p>
    <w:p>
      <w:pPr>
        <w:bidi w:val="0"/>
        <w:rPr>
          <w:rFonts w:hint="eastAsia" w:ascii="仿宋_GB2312" w:hAnsi="仿宋_GB2312" w:eastAsia="仿宋_GB2312" w:cs="仿宋_GB2312"/>
          <w:sz w:val="32"/>
          <w:szCs w:val="32"/>
          <w:lang w:val="en-US" w:eastAsia="zh-CN"/>
        </w:rPr>
      </w:pPr>
      <w:bookmarkStart w:id="21" w:name="_Toc12721"/>
      <w:bookmarkStart w:id="22" w:name="_Toc10569"/>
      <w:r>
        <w:rPr>
          <w:rFonts w:hint="eastAsia" w:ascii="仿宋_GB2312" w:hAnsi="仿宋_GB2312" w:eastAsia="仿宋_GB2312" w:cs="仿宋_GB2312"/>
          <w:sz w:val="32"/>
          <w:szCs w:val="32"/>
          <w:lang w:val="en-US" w:eastAsia="zh-CN"/>
        </w:rPr>
        <w:t>8.规划实施</w:t>
      </w:r>
      <w:bookmarkEnd w:id="21"/>
      <w:bookmarkEnd w:id="22"/>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企业对数字化的认识与执行水平情况：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23" w:name="_Toc2073"/>
      <w:bookmarkStart w:id="24" w:name="_Toc5476"/>
      <w:r>
        <w:rPr>
          <w:rFonts w:hint="eastAsia" w:ascii="仿宋_GB2312" w:hAnsi="仿宋_GB2312" w:eastAsia="仿宋_GB2312" w:cs="仿宋_GB2312"/>
          <w:sz w:val="32"/>
          <w:szCs w:val="32"/>
          <w:lang w:val="en-US" w:eastAsia="zh-CN"/>
        </w:rPr>
        <w:t>9.管理机制</w:t>
      </w:r>
      <w:bookmarkEnd w:id="23"/>
      <w:bookmarkEnd w:id="24"/>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企业数字化管理制度的建立情况：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25" w:name="_Toc21609"/>
      <w:bookmarkStart w:id="26" w:name="_Toc5582"/>
      <w:r>
        <w:rPr>
          <w:rFonts w:hint="eastAsia" w:ascii="仿宋_GB2312" w:hAnsi="仿宋_GB2312" w:eastAsia="仿宋_GB2312" w:cs="仿宋_GB2312"/>
          <w:sz w:val="32"/>
          <w:szCs w:val="32"/>
          <w:lang w:val="en-US" w:eastAsia="zh-CN"/>
        </w:rPr>
        <w:t>10.人才建设</w:t>
      </w:r>
      <w:bookmarkEnd w:id="25"/>
      <w:bookmarkEnd w:id="26"/>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企业在数字化人才建设方面采取的举措：</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27" w:name="_Toc5717"/>
      <w:bookmarkStart w:id="28" w:name="_Toc17876"/>
      <w:r>
        <w:rPr>
          <w:rFonts w:hint="eastAsia" w:ascii="仿宋_GB2312" w:hAnsi="仿宋_GB2312" w:eastAsia="仿宋_GB2312" w:cs="仿宋_GB2312"/>
          <w:sz w:val="32"/>
          <w:szCs w:val="32"/>
          <w:lang w:val="en-US" w:eastAsia="zh-CN"/>
        </w:rPr>
        <w:t>11.资金保障</w:t>
      </w:r>
      <w:bookmarkEnd w:id="27"/>
      <w:bookmarkEnd w:id="28"/>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企业近三年平均数字化投入总额占营业额的平均比例(企业成立不满三年按照实际成立时长计算年均投入)：</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left="0" w:leftChars="0" w:right="0" w:rightChars="0" w:firstLine="0" w:firstLineChars="0"/>
        <w:jc w:val="left"/>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pPr>
      <w:r>
        <w:rPr>
          <w:rFonts w:hint="eastAsia" w:ascii="国标楷体" w:hAnsi="国标楷体" w:eastAsia="国标楷体" w:cs="国标楷体"/>
          <w:i w:val="0"/>
          <w:iCs w:val="0"/>
          <w:caps w:val="0"/>
          <w:color w:val="333333"/>
          <w:spacing w:val="0"/>
          <w:sz w:val="32"/>
          <w:szCs w:val="32"/>
          <w:highlight w:val="none"/>
          <w:shd w:val="clear" w:color="auto" w:fill="FFFFFF"/>
          <w:lang w:val="en-US" w:eastAsia="zh-CN"/>
        </w:rPr>
        <w:t>（三）数字化成效方面</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12.绿色低碳</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企业数字化改造后每百元营业收入中综合能源消费量相比于改造前的变化情况：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29" w:name="_Toc23239"/>
      <w:bookmarkStart w:id="30" w:name="_Toc12103"/>
      <w:r>
        <w:rPr>
          <w:rFonts w:hint="eastAsia" w:ascii="仿宋_GB2312" w:hAnsi="仿宋_GB2312" w:eastAsia="仿宋_GB2312" w:cs="仿宋_GB2312"/>
          <w:sz w:val="32"/>
          <w:szCs w:val="32"/>
          <w:lang w:val="en-US" w:eastAsia="zh-CN"/>
        </w:rPr>
        <w:t>13.产品质量</w:t>
      </w:r>
      <w:bookmarkEnd w:id="29"/>
      <w:bookmarkEnd w:id="30"/>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企业数字化改造后月均产品合格率相比于改造前的变化情况：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31" w:name="_Toc14773"/>
      <w:bookmarkStart w:id="32" w:name="_Toc29792"/>
      <w:r>
        <w:rPr>
          <w:rFonts w:hint="eastAsia" w:ascii="仿宋_GB2312" w:hAnsi="仿宋_GB2312" w:eastAsia="仿宋_GB2312" w:cs="仿宋_GB2312"/>
          <w:sz w:val="32"/>
          <w:szCs w:val="32"/>
          <w:lang w:val="en-US" w:eastAsia="zh-CN"/>
        </w:rPr>
        <w:t>14.市场表现</w:t>
      </w:r>
      <w:bookmarkEnd w:id="31"/>
      <w:bookmarkEnd w:id="32"/>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企业上年度人均营业收入相比于前年变化情况：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33" w:name="_Toc19542"/>
      <w:bookmarkStart w:id="34" w:name="_Toc15197"/>
      <w:r>
        <w:rPr>
          <w:rFonts w:hint="eastAsia" w:ascii="仿宋_GB2312" w:hAnsi="仿宋_GB2312" w:eastAsia="仿宋_GB2312" w:cs="仿宋_GB2312"/>
          <w:sz w:val="32"/>
          <w:szCs w:val="32"/>
          <w:lang w:val="en-US" w:eastAsia="zh-CN"/>
        </w:rPr>
        <w:t>15.价值效益</w:t>
      </w:r>
      <w:bookmarkEnd w:id="33"/>
      <w:bookmarkEnd w:id="34"/>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企业上年度每百元营业收入中的成本相比于前年变化情况：</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keepNext/>
        <w:widowControl/>
        <w:spacing w:line="540" w:lineRule="exact"/>
        <w:ind w:firstLine="640" w:firstLineChars="200"/>
        <w:jc w:val="center"/>
        <w:outlineLvl w:val="0"/>
        <w:rPr>
          <w:rFonts w:hint="eastAsia" w:ascii="Times New Roman Regular" w:hAnsi="Times New Roman Regular" w:eastAsia="黑体" w:cs="Times New Roman Regular"/>
          <w:kern w:val="2"/>
          <w:sz w:val="32"/>
          <w:szCs w:val="32"/>
          <w:lang w:val="en-US" w:eastAsia="zh-CN" w:bidi="ar-SA"/>
        </w:rPr>
      </w:pPr>
      <w:r>
        <w:rPr>
          <w:rFonts w:hint="eastAsia" w:ascii="Times New Roman Regular" w:hAnsi="Times New Roman Regular" w:eastAsia="黑体" w:cs="Times New Roman Regular"/>
          <w:kern w:val="2"/>
          <w:sz w:val="32"/>
          <w:szCs w:val="32"/>
          <w:lang w:val="en-US" w:eastAsia="zh-CN" w:bidi="ar-SA"/>
        </w:rPr>
        <w:t>第四章 数字化经营场景判定及佐证材料</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企业有X个约束性场景达到X级及以上，X个场景达到X级及以上。企业数字化经营场景水平判定为X级别。</w:t>
      </w:r>
    </w:p>
    <w:p>
      <w:pPr>
        <w:numPr>
          <w:ilvl w:val="0"/>
          <w:numId w:val="10"/>
        </w:numPr>
        <w:bidi w:val="0"/>
        <w:ind w:left="420" w:leftChars="0" w:hanging="420" w:firstLineChars="0"/>
        <w:rPr>
          <w:rFonts w:hint="eastAsia" w:ascii="仿宋_GB2312" w:hAnsi="仿宋_GB2312" w:eastAsia="仿宋_GB2312" w:cs="仿宋_GB2312"/>
          <w:sz w:val="32"/>
          <w:szCs w:val="32"/>
          <w:lang w:val="en-US" w:eastAsia="zh-CN"/>
        </w:rPr>
      </w:pPr>
      <w:bookmarkStart w:id="35" w:name="_Toc28285"/>
      <w:bookmarkStart w:id="36" w:name="_Toc14691"/>
      <w:r>
        <w:rPr>
          <w:rFonts w:hint="eastAsia" w:ascii="仿宋_GB2312" w:hAnsi="仿宋_GB2312" w:eastAsia="仿宋_GB2312" w:cs="仿宋_GB2312"/>
          <w:sz w:val="32"/>
          <w:szCs w:val="32"/>
          <w:lang w:val="en-US" w:eastAsia="zh-CN"/>
        </w:rPr>
        <w:t>产品生命周期数字化</w:t>
      </w:r>
      <w:bookmarkEnd w:id="35"/>
      <w:bookmarkEnd w:id="36"/>
    </w:p>
    <w:p>
      <w:pPr>
        <w:bidi w:val="0"/>
        <w:rPr>
          <w:rFonts w:hint="eastAsia" w:ascii="仿宋_GB2312" w:hAnsi="仿宋_GB2312" w:eastAsia="仿宋_GB2312" w:cs="仿宋_GB2312"/>
          <w:sz w:val="32"/>
          <w:szCs w:val="32"/>
          <w:lang w:val="en-US" w:eastAsia="zh-CN"/>
        </w:rPr>
      </w:pPr>
      <w:bookmarkStart w:id="37" w:name="_Toc1949"/>
      <w:bookmarkStart w:id="38" w:name="_Toc9284"/>
      <w:r>
        <w:rPr>
          <w:rFonts w:hint="eastAsia" w:ascii="仿宋_GB2312" w:hAnsi="仿宋_GB2312" w:eastAsia="仿宋_GB2312" w:cs="仿宋_GB2312"/>
          <w:sz w:val="32"/>
          <w:szCs w:val="32"/>
          <w:lang w:val="en-US" w:eastAsia="zh-CN"/>
        </w:rPr>
        <w:t>1.产品设计</w:t>
      </w:r>
      <w:bookmarkEnd w:id="37"/>
      <w:bookmarkEnd w:id="38"/>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p>
      <w:pPr>
        <w:bidi w:val="0"/>
        <w:rPr>
          <w:rFonts w:hint="eastAsia" w:ascii="仿宋_GB2312" w:hAnsi="仿宋_GB2312" w:eastAsia="仿宋_GB2312" w:cs="仿宋_GB2312"/>
          <w:sz w:val="32"/>
          <w:szCs w:val="32"/>
          <w:lang w:val="en-US" w:eastAsia="zh-CN"/>
        </w:rPr>
      </w:pPr>
      <w:bookmarkStart w:id="39" w:name="_Toc7125"/>
      <w:bookmarkStart w:id="40" w:name="_Toc1835"/>
      <w:bookmarkStart w:id="41" w:name="_Toc16194"/>
      <w:r>
        <w:rPr>
          <w:rFonts w:hint="eastAsia" w:ascii="仿宋_GB2312" w:hAnsi="仿宋_GB2312" w:eastAsia="仿宋_GB2312" w:cs="仿宋_GB2312"/>
          <w:sz w:val="32"/>
          <w:szCs w:val="32"/>
          <w:lang w:val="en-US" w:eastAsia="zh-CN"/>
        </w:rPr>
        <w:t>2.工艺设计</w:t>
      </w:r>
      <w:bookmarkEnd w:id="39"/>
      <w:bookmarkEnd w:id="40"/>
      <w:bookmarkEnd w:id="41"/>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42" w:name="_Toc12643"/>
      <w:bookmarkStart w:id="43" w:name="_Toc6254"/>
      <w:bookmarkStart w:id="44" w:name="_Toc2752"/>
      <w:r>
        <w:rPr>
          <w:rFonts w:hint="eastAsia" w:ascii="仿宋_GB2312" w:hAnsi="仿宋_GB2312" w:eastAsia="仿宋_GB2312" w:cs="仿宋_GB2312"/>
          <w:sz w:val="32"/>
          <w:szCs w:val="32"/>
          <w:lang w:val="en-US" w:eastAsia="zh-CN"/>
        </w:rPr>
        <w:t>3.营销管理</w:t>
      </w:r>
      <w:bookmarkEnd w:id="42"/>
      <w:bookmarkEnd w:id="43"/>
      <w:bookmarkEnd w:id="44"/>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45" w:name="_Toc30328"/>
      <w:bookmarkStart w:id="46" w:name="_Toc26407"/>
      <w:bookmarkStart w:id="47" w:name="_Toc14228"/>
      <w:r>
        <w:rPr>
          <w:rFonts w:hint="eastAsia" w:ascii="仿宋_GB2312" w:hAnsi="仿宋_GB2312" w:eastAsia="仿宋_GB2312" w:cs="仿宋_GB2312"/>
          <w:sz w:val="32"/>
          <w:szCs w:val="32"/>
          <w:lang w:val="en-US" w:eastAsia="zh-CN"/>
        </w:rPr>
        <w:t>4.售后服务</w:t>
      </w:r>
      <w:bookmarkEnd w:id="45"/>
      <w:bookmarkEnd w:id="46"/>
      <w:bookmarkEnd w:id="47"/>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numPr>
          <w:ilvl w:val="0"/>
          <w:numId w:val="10"/>
        </w:numPr>
        <w:bidi w:val="0"/>
        <w:ind w:left="420" w:leftChars="0" w:hanging="420" w:firstLineChars="0"/>
        <w:rPr>
          <w:rFonts w:hint="eastAsia" w:ascii="仿宋_GB2312" w:hAnsi="仿宋_GB2312" w:eastAsia="仿宋_GB2312" w:cs="仿宋_GB2312"/>
          <w:sz w:val="32"/>
          <w:szCs w:val="32"/>
          <w:lang w:val="en-US" w:eastAsia="zh-CN"/>
        </w:rPr>
      </w:pPr>
      <w:bookmarkStart w:id="48" w:name="_Toc6234"/>
      <w:bookmarkStart w:id="49" w:name="_Toc24836"/>
      <w:bookmarkStart w:id="50" w:name="_Toc29329"/>
      <w:r>
        <w:rPr>
          <w:rFonts w:hint="eastAsia" w:ascii="仿宋_GB2312" w:hAnsi="仿宋_GB2312" w:eastAsia="仿宋_GB2312" w:cs="仿宋_GB2312"/>
          <w:sz w:val="32"/>
          <w:szCs w:val="32"/>
          <w:lang w:val="en-US" w:eastAsia="zh-CN"/>
        </w:rPr>
        <w:t>产品生命周期数字化</w:t>
      </w:r>
      <w:bookmarkEnd w:id="48"/>
      <w:bookmarkEnd w:id="49"/>
    </w:p>
    <w:p>
      <w:pPr>
        <w:bidi w:val="0"/>
        <w:rPr>
          <w:rFonts w:hint="eastAsia" w:ascii="仿宋_GB2312" w:hAnsi="仿宋_GB2312" w:eastAsia="仿宋_GB2312" w:cs="仿宋_GB2312"/>
          <w:sz w:val="32"/>
          <w:szCs w:val="32"/>
          <w:lang w:val="en-US" w:eastAsia="zh-CN"/>
        </w:rPr>
      </w:pPr>
      <w:bookmarkStart w:id="51" w:name="_Toc27206"/>
      <w:bookmarkStart w:id="52" w:name="_Toc26272"/>
      <w:r>
        <w:rPr>
          <w:rFonts w:hint="eastAsia" w:ascii="仿宋_GB2312" w:hAnsi="仿宋_GB2312" w:eastAsia="仿宋_GB2312" w:cs="仿宋_GB2312"/>
          <w:sz w:val="32"/>
          <w:szCs w:val="32"/>
          <w:lang w:val="en-US" w:eastAsia="zh-CN"/>
        </w:rPr>
        <w:t>5.计划排程</w:t>
      </w:r>
      <w:bookmarkEnd w:id="50"/>
      <w:bookmarkEnd w:id="51"/>
      <w:bookmarkEnd w:id="52"/>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53" w:name="_Toc28194"/>
      <w:bookmarkStart w:id="54" w:name="_Toc28415"/>
      <w:bookmarkStart w:id="55" w:name="_Toc22970"/>
      <w:r>
        <w:rPr>
          <w:rFonts w:hint="eastAsia" w:ascii="仿宋_GB2312" w:hAnsi="仿宋_GB2312" w:eastAsia="仿宋_GB2312" w:cs="仿宋_GB2312"/>
          <w:sz w:val="32"/>
          <w:szCs w:val="32"/>
          <w:lang w:val="en-US" w:eastAsia="zh-CN"/>
        </w:rPr>
        <w:t>6.生产管控</w:t>
      </w:r>
      <w:bookmarkEnd w:id="53"/>
      <w:bookmarkEnd w:id="54"/>
      <w:bookmarkEnd w:id="55"/>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56" w:name="_Toc30925"/>
      <w:bookmarkStart w:id="57" w:name="_Toc30691"/>
      <w:bookmarkStart w:id="58" w:name="_Toc19826"/>
      <w:r>
        <w:rPr>
          <w:rFonts w:hint="eastAsia" w:ascii="仿宋_GB2312" w:hAnsi="仿宋_GB2312" w:eastAsia="仿宋_GB2312" w:cs="仿宋_GB2312"/>
          <w:sz w:val="32"/>
          <w:szCs w:val="32"/>
          <w:lang w:val="en-US" w:eastAsia="zh-CN"/>
        </w:rPr>
        <w:t>7.质量管理</w:t>
      </w:r>
      <w:bookmarkEnd w:id="56"/>
      <w:bookmarkEnd w:id="57"/>
      <w:bookmarkEnd w:id="58"/>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59" w:name="_Toc25363"/>
      <w:bookmarkStart w:id="60" w:name="_Toc17228"/>
      <w:bookmarkStart w:id="61" w:name="_Toc30374"/>
      <w:r>
        <w:rPr>
          <w:rFonts w:hint="eastAsia" w:ascii="仿宋_GB2312" w:hAnsi="仿宋_GB2312" w:eastAsia="仿宋_GB2312" w:cs="仿宋_GB2312"/>
          <w:sz w:val="32"/>
          <w:szCs w:val="32"/>
          <w:lang w:val="en-US" w:eastAsia="zh-CN"/>
        </w:rPr>
        <w:t>8.设备管理</w:t>
      </w:r>
      <w:bookmarkEnd w:id="59"/>
      <w:bookmarkEnd w:id="60"/>
      <w:bookmarkEnd w:id="61"/>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62" w:name="_Toc24379"/>
      <w:bookmarkStart w:id="63" w:name="_Toc27926"/>
      <w:bookmarkStart w:id="64" w:name="_Toc19127"/>
      <w:r>
        <w:rPr>
          <w:rFonts w:hint="eastAsia" w:ascii="仿宋_GB2312" w:hAnsi="仿宋_GB2312" w:eastAsia="仿宋_GB2312" w:cs="仿宋_GB2312"/>
          <w:sz w:val="32"/>
          <w:szCs w:val="32"/>
          <w:lang w:val="en-US" w:eastAsia="zh-CN"/>
        </w:rPr>
        <w:t>9.安全生产</w:t>
      </w:r>
      <w:bookmarkEnd w:id="62"/>
      <w:bookmarkEnd w:id="63"/>
      <w:bookmarkEnd w:id="64"/>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65" w:name="_Toc4760"/>
      <w:bookmarkStart w:id="66" w:name="_Toc3089"/>
      <w:bookmarkStart w:id="67" w:name="_Toc10212"/>
      <w:r>
        <w:rPr>
          <w:rFonts w:hint="eastAsia" w:ascii="仿宋_GB2312" w:hAnsi="仿宋_GB2312" w:eastAsia="仿宋_GB2312" w:cs="仿宋_GB2312"/>
          <w:sz w:val="32"/>
          <w:szCs w:val="32"/>
          <w:lang w:val="en-US" w:eastAsia="zh-CN"/>
        </w:rPr>
        <w:t>10.能耗管理</w:t>
      </w:r>
      <w:bookmarkEnd w:id="65"/>
      <w:bookmarkEnd w:id="66"/>
      <w:bookmarkEnd w:id="67"/>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numPr>
          <w:ilvl w:val="0"/>
          <w:numId w:val="10"/>
        </w:numPr>
        <w:bidi w:val="0"/>
        <w:ind w:left="420" w:leftChars="0" w:hanging="420" w:firstLineChars="0"/>
        <w:rPr>
          <w:rFonts w:hint="eastAsia" w:ascii="仿宋_GB2312" w:hAnsi="仿宋_GB2312" w:eastAsia="仿宋_GB2312" w:cs="仿宋_GB2312"/>
          <w:sz w:val="32"/>
          <w:szCs w:val="32"/>
          <w:lang w:val="en-US" w:eastAsia="zh-CN"/>
        </w:rPr>
      </w:pPr>
      <w:bookmarkStart w:id="68" w:name="_Toc27392"/>
      <w:bookmarkStart w:id="69" w:name="_Toc9375"/>
      <w:r>
        <w:rPr>
          <w:rFonts w:hint="eastAsia" w:ascii="仿宋_GB2312" w:hAnsi="仿宋_GB2312" w:eastAsia="仿宋_GB2312" w:cs="仿宋_GB2312"/>
          <w:sz w:val="32"/>
          <w:szCs w:val="32"/>
          <w:lang w:val="en-US" w:eastAsia="zh-CN"/>
        </w:rPr>
        <w:t>产品生命周期数字化</w:t>
      </w:r>
      <w:bookmarkEnd w:id="68"/>
      <w:bookmarkEnd w:id="69"/>
    </w:p>
    <w:p>
      <w:pPr>
        <w:bidi w:val="0"/>
        <w:rPr>
          <w:rFonts w:hint="eastAsia" w:ascii="仿宋_GB2312" w:hAnsi="仿宋_GB2312" w:eastAsia="仿宋_GB2312" w:cs="仿宋_GB2312"/>
          <w:sz w:val="32"/>
          <w:szCs w:val="32"/>
          <w:lang w:val="en-US" w:eastAsia="zh-CN"/>
        </w:rPr>
      </w:pPr>
      <w:bookmarkStart w:id="70" w:name="_Toc25941"/>
      <w:bookmarkStart w:id="71" w:name="_Toc27393"/>
      <w:bookmarkStart w:id="72" w:name="_Toc4685"/>
      <w:r>
        <w:rPr>
          <w:rFonts w:hint="eastAsia" w:ascii="仿宋_GB2312" w:hAnsi="仿宋_GB2312" w:eastAsia="仿宋_GB2312" w:cs="仿宋_GB2312"/>
          <w:sz w:val="32"/>
          <w:szCs w:val="32"/>
          <w:lang w:val="en-US" w:eastAsia="zh-CN"/>
        </w:rPr>
        <w:t>11.采购管理</w:t>
      </w:r>
      <w:bookmarkEnd w:id="70"/>
      <w:bookmarkEnd w:id="71"/>
      <w:bookmarkEnd w:id="72"/>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73" w:name="_Toc13002"/>
      <w:bookmarkStart w:id="74" w:name="_Toc902"/>
      <w:bookmarkStart w:id="75" w:name="_Toc3308"/>
      <w:r>
        <w:rPr>
          <w:rFonts w:hint="eastAsia" w:ascii="仿宋_GB2312" w:hAnsi="仿宋_GB2312" w:eastAsia="仿宋_GB2312" w:cs="仿宋_GB2312"/>
          <w:sz w:val="32"/>
          <w:szCs w:val="32"/>
          <w:lang w:val="en-US" w:eastAsia="zh-CN"/>
        </w:rPr>
        <w:t>12.仓储物流</w:t>
      </w:r>
      <w:bookmarkEnd w:id="73"/>
      <w:bookmarkEnd w:id="74"/>
      <w:bookmarkEnd w:id="75"/>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numPr>
          <w:ilvl w:val="0"/>
          <w:numId w:val="10"/>
        </w:numPr>
        <w:bidi w:val="0"/>
        <w:ind w:left="420" w:leftChars="0" w:hanging="420" w:firstLineChars="0"/>
        <w:rPr>
          <w:rFonts w:hint="eastAsia" w:ascii="仿宋_GB2312" w:hAnsi="仿宋_GB2312" w:eastAsia="仿宋_GB2312" w:cs="仿宋_GB2312"/>
          <w:sz w:val="32"/>
          <w:szCs w:val="32"/>
          <w:lang w:val="en-US" w:eastAsia="zh-CN"/>
        </w:rPr>
      </w:pPr>
      <w:bookmarkStart w:id="76" w:name="_Toc9748"/>
      <w:bookmarkStart w:id="77" w:name="_Toc31207"/>
      <w:r>
        <w:rPr>
          <w:rFonts w:hint="eastAsia" w:ascii="仿宋_GB2312" w:hAnsi="仿宋_GB2312" w:eastAsia="仿宋_GB2312" w:cs="仿宋_GB2312"/>
          <w:sz w:val="32"/>
          <w:szCs w:val="32"/>
          <w:lang w:val="en-US" w:eastAsia="zh-CN"/>
        </w:rPr>
        <w:t>管理决策数字化</w:t>
      </w:r>
      <w:bookmarkEnd w:id="76"/>
      <w:bookmarkEnd w:id="77"/>
    </w:p>
    <w:p>
      <w:pPr>
        <w:bidi w:val="0"/>
        <w:rPr>
          <w:rFonts w:hint="eastAsia" w:ascii="仿宋_GB2312" w:hAnsi="仿宋_GB2312" w:eastAsia="仿宋_GB2312" w:cs="仿宋_GB2312"/>
          <w:sz w:val="32"/>
          <w:szCs w:val="32"/>
          <w:lang w:val="en-US" w:eastAsia="zh-CN"/>
        </w:rPr>
      </w:pPr>
      <w:bookmarkStart w:id="78" w:name="_Toc17957"/>
      <w:bookmarkStart w:id="79" w:name="_Toc3606"/>
      <w:bookmarkStart w:id="80" w:name="_Toc13273"/>
      <w:r>
        <w:rPr>
          <w:rFonts w:hint="eastAsia" w:ascii="仿宋_GB2312" w:hAnsi="仿宋_GB2312" w:eastAsia="仿宋_GB2312" w:cs="仿宋_GB2312"/>
          <w:sz w:val="32"/>
          <w:szCs w:val="32"/>
          <w:lang w:val="en-US" w:eastAsia="zh-CN"/>
        </w:rPr>
        <w:t>13.财务管理</w:t>
      </w:r>
      <w:bookmarkEnd w:id="78"/>
      <w:bookmarkEnd w:id="79"/>
      <w:bookmarkEnd w:id="80"/>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81" w:name="_Toc20373"/>
      <w:bookmarkStart w:id="82" w:name="_Toc27909"/>
      <w:bookmarkStart w:id="83" w:name="_Toc28088"/>
      <w:r>
        <w:rPr>
          <w:rFonts w:hint="eastAsia" w:ascii="仿宋_GB2312" w:hAnsi="仿宋_GB2312" w:eastAsia="仿宋_GB2312" w:cs="仿宋_GB2312"/>
          <w:sz w:val="32"/>
          <w:szCs w:val="32"/>
          <w:lang w:val="en-US" w:eastAsia="zh-CN"/>
        </w:rPr>
        <w:t>14.人力资源</w:t>
      </w:r>
      <w:bookmarkEnd w:id="81"/>
      <w:bookmarkEnd w:id="82"/>
      <w:bookmarkEnd w:id="83"/>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84" w:name="_Toc14708"/>
      <w:bookmarkStart w:id="85" w:name="_Toc30229"/>
      <w:bookmarkStart w:id="86" w:name="_Toc12300"/>
      <w:r>
        <w:rPr>
          <w:rFonts w:hint="eastAsia" w:ascii="仿宋_GB2312" w:hAnsi="仿宋_GB2312" w:eastAsia="仿宋_GB2312" w:cs="仿宋_GB2312"/>
          <w:sz w:val="32"/>
          <w:szCs w:val="32"/>
          <w:lang w:val="en-US" w:eastAsia="zh-CN"/>
        </w:rPr>
        <w:t>15.协同办公</w:t>
      </w:r>
      <w:bookmarkEnd w:id="84"/>
      <w:bookmarkEnd w:id="85"/>
      <w:bookmarkEnd w:id="86"/>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bidi w:val="0"/>
        <w:rPr>
          <w:rFonts w:hint="eastAsia" w:ascii="仿宋_GB2312" w:hAnsi="仿宋_GB2312" w:eastAsia="仿宋_GB2312" w:cs="仿宋_GB2312"/>
          <w:sz w:val="32"/>
          <w:szCs w:val="32"/>
          <w:lang w:val="en-US" w:eastAsia="zh-CN"/>
        </w:rPr>
      </w:pPr>
      <w:bookmarkStart w:id="87" w:name="_Toc11071"/>
      <w:bookmarkStart w:id="88" w:name="_Toc13636"/>
      <w:bookmarkStart w:id="89" w:name="_Toc9564"/>
      <w:r>
        <w:rPr>
          <w:rFonts w:hint="eastAsia" w:ascii="仿宋_GB2312" w:hAnsi="仿宋_GB2312" w:eastAsia="仿宋_GB2312" w:cs="仿宋_GB2312"/>
          <w:sz w:val="32"/>
          <w:szCs w:val="32"/>
          <w:lang w:val="en-US" w:eastAsia="zh-CN"/>
        </w:rPr>
        <w:t>16.决策支持</w:t>
      </w:r>
      <w:bookmarkEnd w:id="87"/>
      <w:bookmarkEnd w:id="88"/>
      <w:bookmarkEnd w:id="89"/>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等级判定：</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情况描述：</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bidi w:val="0"/>
              <w:rPr>
                <w:rFonts w:hint="eastAsia" w:ascii="仿宋_GB2312" w:hAnsi="仿宋_GB2312" w:eastAsia="仿宋_GB2312" w:cs="仿宋_GB2312"/>
                <w:sz w:val="32"/>
                <w:szCs w:val="32"/>
                <w:lang w:val="en-US" w:eastAsia="zh-CN"/>
              </w:rPr>
            </w:pPr>
          </w:p>
        </w:tc>
      </w:tr>
    </w:tbl>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leftChars="0" w:right="0" w:rightChars="0"/>
        <w:jc w:val="left"/>
        <w:rPr>
          <w:rFonts w:hint="default" w:ascii="仿宋_GB2312" w:hAnsi="微软雅黑" w:eastAsia="仿宋_GB2312" w:cs="仿宋_GB2312"/>
          <w:i w:val="0"/>
          <w:iCs w:val="0"/>
          <w:caps w:val="0"/>
          <w:color w:val="333333"/>
          <w:spacing w:val="0"/>
          <w:sz w:val="32"/>
          <w:szCs w:val="32"/>
          <w:highlight w:val="none"/>
          <w:shd w:val="clear" w:color="auto" w:fill="FFFFFF"/>
          <w:lang w:val="en-US" w:eastAsia="zh-CN"/>
        </w:rPr>
      </w:pPr>
    </w:p>
    <w:p>
      <w:pPr>
        <w:keepNext/>
        <w:widowControl/>
        <w:spacing w:line="540" w:lineRule="exact"/>
        <w:ind w:firstLine="640" w:firstLineChars="200"/>
        <w:jc w:val="center"/>
        <w:outlineLvl w:val="0"/>
        <w:rPr>
          <w:rFonts w:hint="default" w:ascii="Times New Roman Regular" w:hAnsi="Times New Roman Regular" w:eastAsia="黑体" w:cs="Times New Roman Regular"/>
          <w:kern w:val="2"/>
          <w:sz w:val="32"/>
          <w:szCs w:val="32"/>
          <w:lang w:val="en-US" w:eastAsia="zh-CN" w:bidi="ar-SA"/>
        </w:rPr>
      </w:pPr>
      <w:r>
        <w:rPr>
          <w:rFonts w:hint="eastAsia" w:ascii="Times New Roman Regular" w:hAnsi="Times New Roman Regular" w:eastAsia="黑体" w:cs="Times New Roman Regular"/>
          <w:kern w:val="2"/>
          <w:sz w:val="32"/>
          <w:szCs w:val="32"/>
          <w:lang w:val="en-US" w:eastAsia="zh-CN" w:bidi="ar-SA"/>
        </w:rPr>
        <w:t>第五章 数字化改造成效总结</w:t>
      </w:r>
    </w:p>
    <w:p>
      <w:pPr>
        <w:pStyle w:val="5"/>
        <w:pageBreakBefore w:val="0"/>
        <w:shd w:val="clear"/>
        <w:overflowPunct/>
        <w:topLinePunct w:val="0"/>
        <w:bidi w:val="0"/>
        <w:spacing w:line="560" w:lineRule="exact"/>
        <w:ind w:firstLine="640"/>
        <w:rPr>
          <w:rFonts w:hint="eastAsia" w:ascii="仿宋_GB2312" w:hAnsi="微软雅黑" w:eastAsia="仿宋_GB2312" w:cs="仿宋_GB2312"/>
          <w:snapToGrid/>
          <w:color w:val="333333"/>
          <w:kern w:val="0"/>
          <w:sz w:val="32"/>
          <w:szCs w:val="32"/>
          <w:highlight w:val="none"/>
          <w:shd w:val="clear" w:color="auto" w:fill="FFFFFF"/>
          <w:lang w:val="en-US" w:eastAsia="zh-CN" w:bidi="ar"/>
        </w:rPr>
      </w:pPr>
      <w:r>
        <w:rPr>
          <w:rFonts w:hint="eastAsia" w:ascii="仿宋_GB2312" w:hAnsi="微软雅黑" w:eastAsia="仿宋_GB2312" w:cs="仿宋_GB2312"/>
          <w:snapToGrid/>
          <w:color w:val="333333"/>
          <w:kern w:val="0"/>
          <w:sz w:val="32"/>
          <w:szCs w:val="32"/>
          <w:highlight w:val="none"/>
          <w:shd w:val="clear" w:color="auto" w:fill="FFFFFF"/>
          <w:lang w:val="en-US" w:eastAsia="zh-CN" w:bidi="ar"/>
        </w:rPr>
        <w:t>项目实施成效改造前后对比（包括不限于影像资料、指标对比等），添加改造前后成效。</w:t>
      </w:r>
    </w:p>
    <w:p>
      <w:pPr>
        <w:pStyle w:val="4"/>
        <w:keepNext/>
        <w:pageBreakBefore w:val="0"/>
        <w:shd w:val="clear"/>
        <w:overflowPunct/>
        <w:topLinePunct w:val="0"/>
        <w:bidi w:val="0"/>
        <w:spacing w:line="560" w:lineRule="exact"/>
        <w:rPr>
          <w:rFonts w:hint="eastAsia"/>
          <w:highlight w:val="none"/>
        </w:rPr>
      </w:pPr>
      <w:r>
        <w:rPr>
          <w:highlight w:val="none"/>
        </w:rPr>
        <w:t xml:space="preserve">表  </w:t>
      </w:r>
      <w:r>
        <w:rPr>
          <w:rFonts w:hint="eastAsia"/>
          <w:highlight w:val="none"/>
        </w:rPr>
        <w:t>项目实施成效</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33"/>
        <w:gridCol w:w="1663"/>
        <w:gridCol w:w="2560"/>
        <w:gridCol w:w="1400"/>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3323" w:type="pct"/>
            <w:gridSpan w:val="3"/>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jc w:val="center"/>
              <w:rPr>
                <w:rFonts w:hint="default"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改造成效</w:t>
            </w:r>
          </w:p>
        </w:tc>
        <w:tc>
          <w:tcPr>
            <w:tcW w:w="808" w:type="pct"/>
            <w:vMerge w:val="restart"/>
            <w:tcBorders>
              <w:top w:val="single" w:color="000008" w:sz="4" w:space="0"/>
              <w:left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jc w:val="center"/>
              <w:rPr>
                <w:rFonts w:hint="default"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改造前</w:t>
            </w:r>
          </w:p>
        </w:tc>
        <w:tc>
          <w:tcPr>
            <w:tcW w:w="868" w:type="pct"/>
            <w:vMerge w:val="restart"/>
            <w:tcBorders>
              <w:top w:val="single" w:color="000008" w:sz="4" w:space="0"/>
              <w:left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jc w:val="center"/>
              <w:rPr>
                <w:rFonts w:hint="default"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改造后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885"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sz w:val="24"/>
                <w:szCs w:val="24"/>
                <w:highlight w:val="none"/>
              </w:rPr>
              <w:t>一级指标</w:t>
            </w:r>
          </w:p>
        </w:tc>
        <w:tc>
          <w:tcPr>
            <w:tcW w:w="960"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sz w:val="24"/>
                <w:szCs w:val="24"/>
                <w:highlight w:val="none"/>
              </w:rPr>
              <w:t>二级指标</w:t>
            </w: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sz w:val="24"/>
                <w:szCs w:val="24"/>
                <w:highlight w:val="none"/>
              </w:rPr>
              <w:t>采集项</w:t>
            </w:r>
          </w:p>
        </w:tc>
        <w:tc>
          <w:tcPr>
            <w:tcW w:w="808" w:type="pct"/>
            <w:vMerge w:val="continue"/>
            <w:tcBorders>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default" w:ascii="仿宋_GB2312" w:hAnsi="仿宋_GB2312" w:eastAsia="仿宋_GB2312" w:cs="仿宋_GB2312"/>
                <w:b/>
                <w:bCs/>
                <w:color w:val="000000"/>
                <w:sz w:val="24"/>
                <w:szCs w:val="24"/>
                <w:highlight w:val="none"/>
                <w:lang w:val="en-US" w:eastAsia="zh-CN"/>
              </w:rPr>
            </w:pPr>
          </w:p>
        </w:tc>
        <w:tc>
          <w:tcPr>
            <w:tcW w:w="868" w:type="pct"/>
            <w:vMerge w:val="continue"/>
            <w:tcBorders>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default" w:ascii="仿宋_GB2312" w:hAnsi="仿宋_GB2312" w:eastAsia="仿宋_GB2312" w:cs="仿宋_GB2312"/>
                <w:b/>
                <w:bCs/>
                <w:color w:val="0000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5" w:type="pct"/>
            <w:vMerge w:val="restar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000000"/>
                <w:sz w:val="24"/>
                <w:szCs w:val="24"/>
                <w:highlight w:val="none"/>
              </w:rPr>
              <w:t>数字化基础</w:t>
            </w:r>
          </w:p>
        </w:tc>
        <w:tc>
          <w:tcPr>
            <w:tcW w:w="960" w:type="pct"/>
            <w:vMerge w:val="restar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设备系统</w:t>
            </w: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网络建设</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885"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设备数字化</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5"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设备联网</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885"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数据采集</w:t>
            </w: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数据采集</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5"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信息系统</w:t>
            </w: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信息系统</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85"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restar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信息安全</w:t>
            </w: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网络安全</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continue"/>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数据安全</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restart"/>
            <w:tcBorders>
              <w:top w:val="single" w:color="000008" w:sz="4" w:space="0"/>
              <w:left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数字化管理</w:t>
            </w:r>
          </w:p>
        </w:tc>
        <w:tc>
          <w:tcPr>
            <w:tcW w:w="960" w:type="pct"/>
            <w:vMerge w:val="restart"/>
            <w:tcBorders>
              <w:top w:val="single" w:color="000008" w:sz="4" w:space="0"/>
              <w:left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规划管理</w:t>
            </w: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规划实施</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continue"/>
            <w:tcBorders>
              <w:left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continue"/>
            <w:tcBorders>
              <w:left w:val="single" w:color="000008" w:sz="4" w:space="0"/>
              <w:bottom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管理机制</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continue"/>
            <w:tcBorders>
              <w:left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restart"/>
            <w:tcBorders>
              <w:top w:val="single" w:color="000008" w:sz="4" w:space="0"/>
              <w:left w:val="single" w:color="000008"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要素保障</w:t>
            </w:r>
          </w:p>
        </w:tc>
        <w:tc>
          <w:tcPr>
            <w:tcW w:w="147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人才建设</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continue"/>
            <w:tcBorders>
              <w:left w:val="single" w:color="000008" w:sz="4" w:space="0"/>
              <w:bottom w:val="single" w:color="auto"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continue"/>
            <w:tcBorders>
              <w:left w:val="single" w:color="000008" w:sz="4" w:space="0"/>
              <w:bottom w:val="single" w:color="auto" w:sz="4" w:space="0"/>
              <w:right w:val="single" w:color="000008"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p>
        </w:tc>
        <w:tc>
          <w:tcPr>
            <w:tcW w:w="1478" w:type="pct"/>
            <w:tcBorders>
              <w:top w:val="single" w:color="000008" w:sz="4" w:space="0"/>
              <w:left w:val="single" w:color="000008" w:sz="4" w:space="0"/>
              <w:bottom w:val="single" w:color="auto"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资金保障</w:t>
            </w:r>
          </w:p>
        </w:tc>
        <w:tc>
          <w:tcPr>
            <w:tcW w:w="80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数字化成效</w:t>
            </w:r>
          </w:p>
        </w:tc>
        <w:tc>
          <w:tcPr>
            <w:tcW w:w="960"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绿色低碳</w:t>
            </w:r>
          </w:p>
        </w:tc>
        <w:tc>
          <w:tcPr>
            <w:tcW w:w="147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绿色低碳</w:t>
            </w:r>
          </w:p>
        </w:tc>
        <w:tc>
          <w:tcPr>
            <w:tcW w:w="808" w:type="pct"/>
            <w:tcBorders>
              <w:top w:val="single" w:color="000008" w:sz="4" w:space="0"/>
              <w:left w:val="single" w:color="auto"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产品质量</w:t>
            </w:r>
          </w:p>
        </w:tc>
        <w:tc>
          <w:tcPr>
            <w:tcW w:w="147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产品质量</w:t>
            </w:r>
          </w:p>
        </w:tc>
        <w:tc>
          <w:tcPr>
            <w:tcW w:w="808" w:type="pct"/>
            <w:tcBorders>
              <w:top w:val="single" w:color="000008" w:sz="4" w:space="0"/>
              <w:left w:val="single" w:color="auto"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市场效益</w:t>
            </w:r>
          </w:p>
        </w:tc>
        <w:tc>
          <w:tcPr>
            <w:tcW w:w="147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市场表现</w:t>
            </w:r>
          </w:p>
        </w:tc>
        <w:tc>
          <w:tcPr>
            <w:tcW w:w="808" w:type="pct"/>
            <w:tcBorders>
              <w:top w:val="single" w:color="000008" w:sz="4" w:space="0"/>
              <w:left w:val="single" w:color="auto"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885" w:type="pct"/>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sz w:val="24"/>
                <w:szCs w:val="24"/>
                <w:highlight w:val="none"/>
              </w:rPr>
            </w:pPr>
          </w:p>
        </w:tc>
        <w:tc>
          <w:tcPr>
            <w:tcW w:w="960" w:type="pct"/>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p>
        </w:tc>
        <w:tc>
          <w:tcPr>
            <w:tcW w:w="147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价值效益</w:t>
            </w:r>
          </w:p>
        </w:tc>
        <w:tc>
          <w:tcPr>
            <w:tcW w:w="808" w:type="pct"/>
            <w:tcBorders>
              <w:top w:val="single" w:color="000008" w:sz="4" w:space="0"/>
              <w:left w:val="single" w:color="auto"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845" w:type="pct"/>
            <w:gridSpan w:val="2"/>
            <w:vMerge w:val="restart"/>
            <w:tcBorders>
              <w:top w:val="single" w:color="auto" w:sz="4" w:space="0"/>
              <w:left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sz w:val="24"/>
                <w:szCs w:val="24"/>
                <w:highlight w:val="none"/>
                <w:lang w:val="en-US" w:eastAsia="zh-CN"/>
              </w:rPr>
              <w:t>数字化经营场景总结（依据达到的级别要求分场景描述）</w:t>
            </w:r>
          </w:p>
        </w:tc>
        <w:tc>
          <w:tcPr>
            <w:tcW w:w="147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场景1</w:t>
            </w:r>
          </w:p>
        </w:tc>
        <w:tc>
          <w:tcPr>
            <w:tcW w:w="808" w:type="pct"/>
            <w:tcBorders>
              <w:top w:val="single" w:color="000008" w:sz="4" w:space="0"/>
              <w:left w:val="single" w:color="auto"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845" w:type="pct"/>
            <w:gridSpan w:val="2"/>
            <w:vMerge w:val="continue"/>
            <w:tcBorders>
              <w:left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p>
        </w:tc>
        <w:tc>
          <w:tcPr>
            <w:tcW w:w="147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场景2</w:t>
            </w:r>
          </w:p>
        </w:tc>
        <w:tc>
          <w:tcPr>
            <w:tcW w:w="808" w:type="pct"/>
            <w:tcBorders>
              <w:top w:val="single" w:color="000008" w:sz="4" w:space="0"/>
              <w:left w:val="single" w:color="auto"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845" w:type="pct"/>
            <w:gridSpan w:val="2"/>
            <w:vMerge w:val="continue"/>
            <w:tcBorders>
              <w:left w:val="single" w:color="auto" w:sz="4" w:space="0"/>
              <w:bottom w:val="single" w:color="auto" w:sz="4" w:space="0"/>
              <w:right w:val="single" w:color="auto" w:sz="4" w:space="0"/>
            </w:tcBorders>
            <w:noWrap w:val="0"/>
            <w:tcMar>
              <w:left w:w="108" w:type="dxa"/>
              <w:right w:w="108" w:type="dxa"/>
            </w:tcMar>
            <w:vAlign w:val="center"/>
          </w:tcPr>
          <w:p>
            <w:pPr>
              <w:pageBreakBefore w:val="0"/>
              <w:shd w:val="clear"/>
              <w:overflowPunct/>
              <w:topLinePunct w:val="0"/>
              <w:bidi w:val="0"/>
              <w:spacing w:line="560" w:lineRule="exact"/>
              <w:rPr>
                <w:rFonts w:hint="eastAsia" w:ascii="仿宋_GB2312" w:hAnsi="仿宋_GB2312" w:eastAsia="仿宋_GB2312" w:cs="仿宋_GB2312"/>
                <w:color w:val="000000"/>
                <w:kern w:val="0"/>
                <w:sz w:val="24"/>
                <w:szCs w:val="24"/>
                <w:highlight w:val="none"/>
                <w:lang w:val="en-US" w:eastAsia="zh-CN" w:bidi="ar"/>
              </w:rPr>
            </w:pPr>
          </w:p>
        </w:tc>
        <w:tc>
          <w:tcPr>
            <w:tcW w:w="147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ind w:left="0" w:leftChars="0" w:right="0" w:rightChars="0"/>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w:t>
            </w:r>
          </w:p>
        </w:tc>
        <w:tc>
          <w:tcPr>
            <w:tcW w:w="808" w:type="pct"/>
            <w:tcBorders>
              <w:top w:val="single" w:color="000008" w:sz="4" w:space="0"/>
              <w:left w:val="single" w:color="auto"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c>
          <w:tcPr>
            <w:tcW w:w="868" w:type="pct"/>
            <w:tcBorders>
              <w:top w:val="single" w:color="000008" w:sz="4" w:space="0"/>
              <w:left w:val="single" w:color="000008" w:sz="4" w:space="0"/>
              <w:bottom w:val="single" w:color="000008" w:sz="4" w:space="0"/>
              <w:right w:val="single" w:color="000008" w:sz="4" w:space="0"/>
            </w:tcBorders>
            <w:noWrap w:val="0"/>
            <w:tcMar>
              <w:left w:w="108" w:type="dxa"/>
              <w:right w:w="108" w:type="dxa"/>
            </w:tcMar>
            <w:vAlign w:val="center"/>
          </w:tcPr>
          <w:p>
            <w:pPr>
              <w:pStyle w:val="11"/>
              <w:keepNext w:val="0"/>
              <w:keepLines w:val="0"/>
              <w:pageBreakBefore w:val="0"/>
              <w:widowControl/>
              <w:suppressLineNumbers w:val="0"/>
              <w:shd w:val="clear"/>
              <w:overflowPunct/>
              <w:topLinePunct w:val="0"/>
              <w:bidi w:val="0"/>
              <w:spacing w:line="560" w:lineRule="exact"/>
              <w:rPr>
                <w:rFonts w:hint="eastAsia" w:ascii="仿宋_GB2312" w:hAnsi="仿宋_GB2312" w:eastAsia="仿宋_GB2312" w:cs="仿宋_GB2312"/>
                <w:color w:val="000000"/>
                <w:sz w:val="24"/>
                <w:szCs w:val="24"/>
                <w:highlight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right="0" w:firstLine="320" w:firstLineChars="100"/>
        <w:jc w:val="left"/>
        <w:rPr>
          <w:rFonts w:hint="eastAsia" w:ascii="微软雅黑" w:hAnsi="微软雅黑" w:eastAsia="微软雅黑" w:cs="微软雅黑"/>
          <w:i w:val="0"/>
          <w:iCs w:val="0"/>
          <w:caps w:val="0"/>
          <w:color w:val="333333"/>
          <w:spacing w:val="0"/>
          <w:sz w:val="16"/>
          <w:szCs w:val="16"/>
          <w:highlight w:val="none"/>
        </w:rPr>
      </w:pPr>
      <w:r>
        <w:rPr>
          <w:rFonts w:hint="eastAsia" w:ascii="楷体" w:hAnsi="楷体" w:eastAsia="楷体" w:cs="楷体"/>
          <w:i w:val="0"/>
          <w:iCs w:val="0"/>
          <w:caps w:val="0"/>
          <w:color w:val="333333"/>
          <w:spacing w:val="0"/>
          <w:sz w:val="32"/>
          <w:szCs w:val="32"/>
          <w:highlight w:val="none"/>
          <w:shd w:val="clear" w:color="auto" w:fill="FFFFFF"/>
          <w:lang w:eastAsia="zh-CN"/>
        </w:rPr>
        <w:t>（一</w:t>
      </w:r>
      <w:r>
        <w:rPr>
          <w:rFonts w:hint="eastAsia" w:ascii="楷体" w:hAnsi="楷体" w:eastAsia="楷体" w:cs="楷体"/>
          <w:i w:val="0"/>
          <w:iCs w:val="0"/>
          <w:caps w:val="0"/>
          <w:color w:val="333333"/>
          <w:spacing w:val="0"/>
          <w:sz w:val="32"/>
          <w:szCs w:val="32"/>
          <w:highlight w:val="none"/>
          <w:shd w:val="clear" w:color="auto" w:fill="FFFFFF"/>
        </w:rPr>
        <w:t>）项目</w:t>
      </w:r>
      <w:r>
        <w:rPr>
          <w:rFonts w:hint="eastAsia" w:ascii="楷体" w:hAnsi="楷体" w:eastAsia="楷体" w:cs="楷体"/>
          <w:i w:val="0"/>
          <w:iCs w:val="0"/>
          <w:caps w:val="0"/>
          <w:color w:val="333333"/>
          <w:spacing w:val="0"/>
          <w:sz w:val="32"/>
          <w:szCs w:val="32"/>
          <w:highlight w:val="none"/>
          <w:shd w:val="clear" w:color="auto" w:fill="FFFFFF"/>
          <w:lang w:val="en-US" w:eastAsia="zh-CN"/>
        </w:rPr>
        <w:t>特色</w:t>
      </w:r>
      <w:r>
        <w:rPr>
          <w:rFonts w:hint="eastAsia" w:ascii="楷体" w:hAnsi="楷体" w:eastAsia="楷体" w:cs="楷体"/>
          <w:i w:val="0"/>
          <w:iCs w:val="0"/>
          <w:caps w:val="0"/>
          <w:color w:val="333333"/>
          <w:spacing w:val="0"/>
          <w:sz w:val="32"/>
          <w:szCs w:val="32"/>
          <w:highlight w:val="none"/>
          <w:shd w:val="clear" w:color="auto" w:fill="FFFFFF"/>
        </w:rPr>
        <w:t>情况</w:t>
      </w:r>
      <w:r>
        <w:rPr>
          <w:rFonts w:hint="eastAsia" w:ascii="黑体" w:hAnsi="宋体" w:eastAsia="黑体" w:cs="黑体"/>
          <w:i w:val="0"/>
          <w:iCs w:val="0"/>
          <w:caps w:val="0"/>
          <w:color w:val="333333"/>
          <w:spacing w:val="0"/>
          <w:sz w:val="32"/>
          <w:szCs w:val="32"/>
          <w:highlight w:val="none"/>
          <w:shd w:val="clear" w:color="auto"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left="0" w:right="0" w:firstLine="640"/>
        <w:jc w:val="left"/>
        <w:rPr>
          <w:rFonts w:hint="eastAsia" w:ascii="微软雅黑" w:hAnsi="微软雅黑" w:eastAsia="微软雅黑" w:cs="微软雅黑"/>
          <w:i w:val="0"/>
          <w:iCs w:val="0"/>
          <w:caps w:val="0"/>
          <w:color w:val="333333"/>
          <w:spacing w:val="0"/>
          <w:sz w:val="16"/>
          <w:szCs w:val="16"/>
          <w:highlight w:val="none"/>
        </w:rPr>
      </w:pPr>
      <w:r>
        <w:rPr>
          <w:rFonts w:hint="eastAsia" w:ascii="仿宋_GB2312" w:hAnsi="微软雅黑" w:eastAsia="仿宋_GB2312" w:cs="仿宋_GB2312"/>
          <w:i w:val="0"/>
          <w:iCs w:val="0"/>
          <w:caps w:val="0"/>
          <w:color w:val="333333"/>
          <w:spacing w:val="0"/>
          <w:sz w:val="32"/>
          <w:szCs w:val="32"/>
          <w:highlight w:val="none"/>
          <w:shd w:val="clear" w:color="auto" w:fill="FFFFFF"/>
        </w:rPr>
        <w:t>包括项目的创新性、经验做法等情况，不少于</w:t>
      </w:r>
      <w:r>
        <w:rPr>
          <w:rFonts w:hint="eastAsia" w:ascii="微软雅黑" w:hAnsi="微软雅黑" w:eastAsia="微软雅黑" w:cs="微软雅黑"/>
          <w:i w:val="0"/>
          <w:iCs w:val="0"/>
          <w:caps w:val="0"/>
          <w:color w:val="333333"/>
          <w:spacing w:val="0"/>
          <w:sz w:val="32"/>
          <w:szCs w:val="32"/>
          <w:highlight w:val="none"/>
          <w:shd w:val="clear" w:color="auto" w:fill="FFFFFF"/>
        </w:rPr>
        <w:t>500</w:t>
      </w:r>
      <w:r>
        <w:rPr>
          <w:rFonts w:hint="eastAsia" w:ascii="仿宋_GB2312" w:hAnsi="微软雅黑" w:eastAsia="仿宋_GB2312" w:cs="仿宋_GB2312"/>
          <w:i w:val="0"/>
          <w:iCs w:val="0"/>
          <w:caps w:val="0"/>
          <w:color w:val="333333"/>
          <w:spacing w:val="0"/>
          <w:sz w:val="32"/>
          <w:szCs w:val="32"/>
          <w:highlight w:val="none"/>
          <w:shd w:val="clear" w:color="auto" w:fill="FFFFFF"/>
        </w:rPr>
        <w:t>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right="0" w:firstLine="320" w:firstLineChars="100"/>
        <w:jc w:val="left"/>
        <w:rPr>
          <w:rFonts w:hint="eastAsia" w:ascii="微软雅黑" w:hAnsi="微软雅黑" w:eastAsia="微软雅黑" w:cs="微软雅黑"/>
          <w:i w:val="0"/>
          <w:iCs w:val="0"/>
          <w:caps w:val="0"/>
          <w:color w:val="333333"/>
          <w:spacing w:val="0"/>
          <w:sz w:val="16"/>
          <w:szCs w:val="16"/>
          <w:highlight w:val="none"/>
        </w:rPr>
      </w:pPr>
      <w:r>
        <w:rPr>
          <w:rFonts w:hint="eastAsia" w:ascii="楷体" w:hAnsi="楷体" w:eastAsia="楷体" w:cs="楷体"/>
          <w:i w:val="0"/>
          <w:iCs w:val="0"/>
          <w:caps w:val="0"/>
          <w:color w:val="333333"/>
          <w:spacing w:val="0"/>
          <w:sz w:val="32"/>
          <w:szCs w:val="32"/>
          <w:highlight w:val="none"/>
          <w:shd w:val="clear" w:color="auto" w:fill="FFFFFF"/>
        </w:rPr>
        <w:t>（</w:t>
      </w:r>
      <w:r>
        <w:rPr>
          <w:rFonts w:hint="eastAsia" w:ascii="楷体" w:hAnsi="楷体" w:eastAsia="楷体" w:cs="楷体"/>
          <w:i w:val="0"/>
          <w:iCs w:val="0"/>
          <w:caps w:val="0"/>
          <w:color w:val="333333"/>
          <w:spacing w:val="0"/>
          <w:sz w:val="32"/>
          <w:szCs w:val="32"/>
          <w:highlight w:val="none"/>
          <w:shd w:val="clear" w:color="auto" w:fill="FFFFFF"/>
          <w:lang w:eastAsia="zh-CN"/>
        </w:rPr>
        <w:t>二</w:t>
      </w:r>
      <w:r>
        <w:rPr>
          <w:rFonts w:hint="eastAsia" w:ascii="楷体" w:hAnsi="楷体" w:eastAsia="楷体" w:cs="楷体"/>
          <w:i w:val="0"/>
          <w:iCs w:val="0"/>
          <w:caps w:val="0"/>
          <w:color w:val="333333"/>
          <w:spacing w:val="0"/>
          <w:sz w:val="32"/>
          <w:szCs w:val="32"/>
          <w:highlight w:val="none"/>
          <w:shd w:val="clear" w:color="auto" w:fill="FFFFFF"/>
        </w:rPr>
        <w:t>）项目竣工验收情况</w:t>
      </w:r>
    </w:p>
    <w:p>
      <w:pPr>
        <w:keepNext/>
        <w:keepLines/>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outlineLvl w:val="1"/>
        <w:rPr>
          <w:rFonts w:hint="eastAsia" w:ascii="仿宋_GB2312" w:hAnsi="微软雅黑"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t>从组织建立、验收结论等方面简要概况项目验收情况，</w:t>
      </w:r>
      <w:r>
        <w:rPr>
          <w:rFonts w:hint="eastAsia" w:ascii="仿宋_GB2312" w:hAnsi="微软雅黑" w:eastAsia="仿宋_GB2312" w:cs="仿宋_GB2312"/>
          <w:i w:val="0"/>
          <w:iCs w:val="0"/>
          <w:caps w:val="0"/>
          <w:color w:val="333333"/>
          <w:spacing w:val="0"/>
          <w:sz w:val="32"/>
          <w:szCs w:val="32"/>
          <w:highlight w:val="none"/>
          <w:shd w:val="clear" w:color="auto" w:fill="FFFFFF"/>
        </w:rPr>
        <w:t>包括</w:t>
      </w:r>
      <w:r>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t>但不限于</w:t>
      </w:r>
      <w:r>
        <w:rPr>
          <w:rFonts w:hint="eastAsia" w:ascii="仿宋_GB2312" w:hAnsi="微软雅黑" w:eastAsia="仿宋_GB2312" w:cs="仿宋_GB2312"/>
          <w:i w:val="0"/>
          <w:iCs w:val="0"/>
          <w:caps w:val="0"/>
          <w:color w:val="333333"/>
          <w:spacing w:val="0"/>
          <w:sz w:val="32"/>
          <w:szCs w:val="32"/>
          <w:highlight w:val="none"/>
          <w:shd w:val="clear" w:color="auto" w:fill="FFFFFF"/>
        </w:rPr>
        <w:t>企业组织的项目验收报告</w:t>
      </w:r>
      <w:r>
        <w:rPr>
          <w:rFonts w:hint="eastAsia" w:ascii="仿宋_GB2312" w:hAnsi="微软雅黑" w:eastAsia="仿宋_GB2312" w:cs="仿宋_GB2312"/>
          <w:i w:val="0"/>
          <w:iCs w:val="0"/>
          <w:caps w:val="0"/>
          <w:color w:val="333333"/>
          <w:spacing w:val="0"/>
          <w:sz w:val="32"/>
          <w:szCs w:val="32"/>
          <w:highlight w:val="none"/>
          <w:shd w:val="clear" w:color="auto" w:fill="FFFFFF"/>
          <w:lang w:val="en-US" w:eastAsia="zh-CN"/>
        </w:rPr>
        <w:t>系列材料及会议照片等</w:t>
      </w:r>
      <w:r>
        <w:rPr>
          <w:rFonts w:hint="eastAsia" w:ascii="仿宋_GB2312" w:hAnsi="微软雅黑" w:eastAsia="仿宋_GB2312" w:cs="仿宋_GB2312"/>
          <w:i w:val="0"/>
          <w:iCs w:val="0"/>
          <w:caps w:val="0"/>
          <w:color w:val="333333"/>
          <w:spacing w:val="0"/>
          <w:kern w:val="0"/>
          <w:sz w:val="32"/>
          <w:szCs w:val="32"/>
          <w:highlight w:val="none"/>
          <w:shd w:val="clear" w:color="auto" w:fill="FFFFFF"/>
          <w:lang w:val="en-US" w:eastAsia="zh-CN" w:bidi="ar"/>
        </w:rPr>
        <w:t>及其他能够佐证改造项目数字化水平情况的材料。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left="0" w:right="0" w:firstLine="640"/>
        <w:jc w:val="both"/>
        <w:rPr>
          <w:rFonts w:hint="eastAsia" w:ascii="仿宋_GB2312" w:hAnsi="微软雅黑" w:eastAsia="仿宋_GB2312" w:cs="仿宋_GB2312"/>
          <w:i w:val="0"/>
          <w:iCs w:val="0"/>
          <w:caps w:val="0"/>
          <w:color w:val="333333"/>
          <w:spacing w:val="0"/>
          <w:sz w:val="32"/>
          <w:szCs w:val="32"/>
          <w:highlight w:val="none"/>
          <w:shd w:val="clear" w:color="auto" w:fill="FFFFFF"/>
          <w:lang w:eastAsia="zh-CN"/>
        </w:rPr>
      </w:pPr>
    </w:p>
    <w:p>
      <w:pPr>
        <w:keepNext/>
        <w:widowControl/>
        <w:spacing w:line="540" w:lineRule="exact"/>
        <w:ind w:firstLine="640" w:firstLineChars="200"/>
        <w:jc w:val="center"/>
        <w:outlineLvl w:val="0"/>
        <w:rPr>
          <w:rFonts w:hint="eastAsia" w:ascii="微软雅黑" w:hAnsi="微软雅黑" w:eastAsia="微软雅黑" w:cs="微软雅黑"/>
          <w:i w:val="0"/>
          <w:iCs w:val="0"/>
          <w:caps w:val="0"/>
          <w:color w:val="333333"/>
          <w:spacing w:val="0"/>
          <w:sz w:val="16"/>
          <w:szCs w:val="16"/>
        </w:rPr>
      </w:pPr>
      <w:r>
        <w:rPr>
          <w:rFonts w:hint="eastAsia" w:ascii="Times New Roman Regular" w:hAnsi="Times New Roman Regular" w:eastAsia="黑体" w:cs="Times New Roman Regular"/>
          <w:kern w:val="2"/>
          <w:sz w:val="32"/>
          <w:szCs w:val="32"/>
          <w:lang w:val="en-US" w:eastAsia="zh-CN" w:bidi="ar-SA"/>
        </w:rPr>
        <w:t>第六章 数字化改造项目特色总结</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sz w:val="32"/>
          <w:szCs w:val="32"/>
          <w:shd w:val="clear" w:fill="FFFFFF"/>
        </w:rPr>
        <w:t>包括项目的创新性、经验做法等情况，不少于</w:t>
      </w:r>
      <w:r>
        <w:rPr>
          <w:rFonts w:hint="eastAsia" w:ascii="微软雅黑" w:hAnsi="微软雅黑" w:eastAsia="微软雅黑" w:cs="微软雅黑"/>
          <w:i w:val="0"/>
          <w:iCs w:val="0"/>
          <w:caps w:val="0"/>
          <w:color w:val="333333"/>
          <w:spacing w:val="0"/>
          <w:sz w:val="32"/>
          <w:szCs w:val="32"/>
          <w:shd w:val="clear" w:fill="FFFFFF"/>
        </w:rPr>
        <w:t>500</w:t>
      </w:r>
      <w:r>
        <w:rPr>
          <w:rFonts w:hint="eastAsia" w:ascii="仿宋_GB2312" w:hAnsi="微软雅黑" w:eastAsia="仿宋_GB2312" w:cs="仿宋_GB2312"/>
          <w:i w:val="0"/>
          <w:iCs w:val="0"/>
          <w:caps w:val="0"/>
          <w:color w:val="333333"/>
          <w:spacing w:val="0"/>
          <w:sz w:val="32"/>
          <w:szCs w:val="32"/>
          <w:shd w:val="clear" w:fill="FFFFFF"/>
        </w:rPr>
        <w:t>字。</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overflowPunct/>
        <w:topLinePunct w:val="0"/>
        <w:bidi w:val="0"/>
        <w:spacing w:before="0" w:beforeAutospacing="0" w:after="0" w:afterAutospacing="0" w:line="560" w:lineRule="exact"/>
        <w:ind w:right="0" w:firstLine="320" w:firstLineChars="100"/>
        <w:jc w:val="left"/>
        <w:rPr>
          <w:rFonts w:hint="eastAsia" w:ascii="楷体" w:hAnsi="楷体" w:eastAsia="楷体" w:cs="楷体"/>
          <w:i w:val="0"/>
          <w:iCs w:val="0"/>
          <w:caps w:val="0"/>
          <w:color w:val="333333"/>
          <w:spacing w:val="0"/>
          <w:sz w:val="32"/>
          <w:szCs w:val="32"/>
          <w:highlight w:val="none"/>
          <w:shd w:val="clear" w:color="auto" w:fill="FFFFFF"/>
          <w:lang w:val="en-US" w:eastAsia="zh-CN"/>
        </w:rPr>
      </w:pPr>
    </w:p>
    <w:p>
      <w:pPr>
        <w:keepNext/>
        <w:keepLines/>
        <w:pageBreakBefore w:val="0"/>
        <w:widowControl w:val="0"/>
        <w:numPr>
          <w:ilvl w:val="0"/>
          <w:numId w:val="0"/>
        </w:numPr>
        <w:kinsoku/>
        <w:wordWrap/>
        <w:overflowPunct/>
        <w:topLinePunct w:val="0"/>
        <w:autoSpaceDE/>
        <w:autoSpaceDN/>
        <w:bidi w:val="0"/>
        <w:adjustRightInd/>
        <w:snapToGrid/>
        <w:spacing w:line="579" w:lineRule="exact"/>
        <w:jc w:val="both"/>
        <w:textAlignment w:val="auto"/>
        <w:outlineLvl w:val="1"/>
        <w:rPr>
          <w:rFonts w:hint="eastAsia" w:ascii="仿宋_GB2312" w:hAnsi="微软雅黑" w:eastAsia="仿宋_GB2312" w:cs="仿宋_GB2312"/>
          <w:i w:val="0"/>
          <w:iCs w:val="0"/>
          <w:caps w:val="0"/>
          <w:color w:val="333333"/>
          <w:spacing w:val="0"/>
          <w:kern w:val="0"/>
          <w:sz w:val="32"/>
          <w:szCs w:val="32"/>
          <w:highlight w:val="none"/>
          <w:shd w:val="clear" w:color="auto" w:fill="FFFFFF"/>
          <w:lang w:val="en-US" w:eastAsia="zh-CN" w:bidi="ar"/>
        </w:rPr>
        <w:sectPr>
          <w:footerReference r:id="rId6" w:type="default"/>
          <w:pgSz w:w="11906" w:h="16838"/>
          <w:pgMar w:top="1531" w:right="1361" w:bottom="1531" w:left="2098" w:header="851" w:footer="992" w:gutter="0"/>
          <w:pgNumType w:fmt="decimal"/>
          <w:cols w:space="720" w:num="1"/>
          <w:docGrid w:type="lines" w:linePitch="312" w:charSpace="0"/>
        </w:sectPr>
      </w:pPr>
    </w:p>
    <w:p>
      <w:pPr>
        <w:keepNext/>
        <w:keepLines/>
        <w:pageBreakBefore w:val="0"/>
        <w:widowControl w:val="0"/>
        <w:numPr>
          <w:ilvl w:val="0"/>
          <w:numId w:val="0"/>
        </w:numPr>
        <w:kinsoku/>
        <w:wordWrap/>
        <w:overflowPunct/>
        <w:topLinePunct w:val="0"/>
        <w:autoSpaceDE/>
        <w:autoSpaceDN/>
        <w:bidi w:val="0"/>
        <w:adjustRightInd/>
        <w:snapToGrid/>
        <w:spacing w:line="579" w:lineRule="exact"/>
        <w:jc w:val="both"/>
        <w:textAlignment w:val="auto"/>
        <w:outlineLvl w:val="1"/>
        <w:rPr>
          <w:rFonts w:hint="eastAsia" w:ascii="方正黑体_GBK" w:hAnsi="方正黑体_GBK" w:eastAsia="方正黑体_GBK" w:cs="方正黑体_GBK"/>
          <w:bCs/>
          <w:kern w:val="44"/>
          <w:sz w:val="32"/>
          <w:szCs w:val="44"/>
          <w:lang w:val="en-US" w:eastAsia="zh-CN" w:bidi="ar-SA"/>
        </w:rPr>
      </w:pPr>
      <w:r>
        <w:rPr>
          <w:rFonts w:hint="eastAsia" w:ascii="方正黑体_GBK" w:hAnsi="方正黑体_GBK" w:eastAsia="方正黑体_GBK" w:cs="方正黑体_GBK"/>
          <w:bCs/>
          <w:kern w:val="44"/>
          <w:sz w:val="32"/>
          <w:szCs w:val="44"/>
          <w:lang w:val="en-US" w:eastAsia="zh-CN" w:bidi="ar-SA"/>
        </w:rPr>
        <w:t>附件1.3</w:t>
      </w:r>
    </w:p>
    <w:p>
      <w:pPr>
        <w:numPr>
          <w:ilvl w:val="0"/>
          <w:numId w:val="0"/>
        </w:numPr>
        <w:shd w:val="clear"/>
        <w:ind w:leftChars="0"/>
        <w:jc w:val="center"/>
        <w:rPr>
          <w:rFonts w:hint="eastAsia" w:ascii="黑体" w:hAnsi="宋体" w:eastAsia="黑体" w:cs="黑体"/>
          <w:i w:val="0"/>
          <w:iCs w:val="0"/>
          <w:caps w:val="0"/>
          <w:color w:val="333333"/>
          <w:spacing w:val="0"/>
          <w:sz w:val="36"/>
          <w:szCs w:val="36"/>
          <w:highlight w:val="none"/>
          <w:shd w:val="clear" w:color="auto" w:fill="FFFFFF"/>
          <w:lang w:val="en-US" w:eastAsia="zh-CN"/>
        </w:rPr>
      </w:pPr>
      <w:r>
        <w:rPr>
          <w:rFonts w:hint="eastAsia" w:ascii="黑体" w:hAnsi="宋体" w:eastAsia="黑体" w:cs="黑体"/>
          <w:i w:val="0"/>
          <w:iCs w:val="0"/>
          <w:caps w:val="0"/>
          <w:color w:val="333333"/>
          <w:spacing w:val="0"/>
          <w:sz w:val="36"/>
          <w:szCs w:val="36"/>
          <w:highlight w:val="none"/>
          <w:shd w:val="clear" w:color="auto" w:fill="FFFFFF"/>
          <w:lang w:val="en-US" w:eastAsia="zh-CN"/>
        </w:rPr>
        <w:t>企业改造后数字化水平自评估报告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国标黑体" w:hAnsi="国标黑体" w:eastAsia="国标黑体" w:cs="国标黑体"/>
          <w:i w:val="0"/>
          <w:iCs w:val="0"/>
          <w:caps w:val="0"/>
          <w:color w:val="333333"/>
          <w:spacing w:val="0"/>
          <w:sz w:val="28"/>
          <w:szCs w:val="28"/>
          <w:highlight w:val="none"/>
        </w:rPr>
      </w:pPr>
      <w:r>
        <w:rPr>
          <w:rFonts w:hint="eastAsia" w:ascii="国标黑体" w:hAnsi="国标黑体" w:eastAsia="国标黑体" w:cs="国标黑体"/>
          <w:i w:val="0"/>
          <w:iCs w:val="0"/>
          <w:caps w:val="0"/>
          <w:color w:val="333333"/>
          <w:spacing w:val="0"/>
          <w:sz w:val="28"/>
          <w:szCs w:val="28"/>
          <w:highlight w:val="none"/>
          <w:shd w:val="clear" w:color="auto" w:fill="FFFFFF"/>
          <w:lang w:eastAsia="zh-CN"/>
        </w:rPr>
        <w:t>一、</w:t>
      </w:r>
      <w:r>
        <w:rPr>
          <w:rFonts w:hint="eastAsia" w:ascii="国标黑体" w:hAnsi="国标黑体" w:eastAsia="国标黑体" w:cs="国标黑体"/>
          <w:i w:val="0"/>
          <w:iCs w:val="0"/>
          <w:caps w:val="0"/>
          <w:color w:val="333333"/>
          <w:spacing w:val="0"/>
          <w:sz w:val="28"/>
          <w:szCs w:val="28"/>
          <w:highlight w:val="none"/>
          <w:shd w:val="clear" w:color="auto" w:fill="FFFFFF"/>
        </w:rPr>
        <w:t>数字化水平整体情况</w:t>
      </w:r>
    </w:p>
    <w:tbl>
      <w:tblPr>
        <w:tblStyle w:val="14"/>
        <w:tblW w:w="80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686"/>
        <w:gridCol w:w="3315"/>
        <w:gridCol w:w="205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3" w:type="dxa"/>
            <w:tcBorders>
              <w:top w:val="single" w:color="999999" w:sz="4" w:space="0"/>
              <w:left w:val="single" w:color="999999" w:sz="4" w:space="0"/>
              <w:bottom w:val="single" w:color="999999" w:sz="6" w:space="0"/>
              <w:right w:val="single" w:color="999999" w:sz="6" w:space="0"/>
            </w:tcBorders>
            <w:noWrap w:val="0"/>
            <w:tcMar>
              <w:left w:w="101" w:type="dxa"/>
              <w:right w:w="101"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sz w:val="18"/>
                <w:szCs w:val="18"/>
                <w:highlight w:val="none"/>
              </w:rPr>
            </w:pPr>
            <w:r>
              <w:rPr>
                <w:rFonts w:ascii="仿宋_GB2312" w:eastAsia="仿宋_GB2312" w:cs="仿宋_GB2312"/>
                <w:b/>
                <w:bCs/>
                <w:sz w:val="18"/>
                <w:szCs w:val="18"/>
                <w:highlight w:val="none"/>
                <w:shd w:val="clear" w:color="auto" w:fill="FFFFFF"/>
              </w:rPr>
              <w:t>数字化基础、管理及成效得分</w:t>
            </w:r>
          </w:p>
        </w:tc>
        <w:tc>
          <w:tcPr>
            <w:tcW w:w="3139" w:type="dxa"/>
            <w:tcBorders>
              <w:top w:val="single" w:color="999999" w:sz="4" w:space="0"/>
              <w:left w:val="single" w:color="999999" w:sz="6" w:space="0"/>
              <w:bottom w:val="single" w:color="999999" w:sz="6" w:space="0"/>
              <w:right w:val="single" w:color="999999" w:sz="6" w:space="0"/>
            </w:tcBorders>
            <w:noWrap w:val="0"/>
            <w:tcMar>
              <w:left w:w="101" w:type="dxa"/>
              <w:right w:w="101"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sz w:val="18"/>
                <w:szCs w:val="18"/>
                <w:highlight w:val="none"/>
              </w:rPr>
            </w:pPr>
            <w:r>
              <w:rPr>
                <w:rFonts w:hint="eastAsia" w:ascii="仿宋_GB2312" w:eastAsia="仿宋_GB2312" w:cs="仿宋_GB2312"/>
                <w:b/>
                <w:bCs/>
                <w:sz w:val="18"/>
                <w:szCs w:val="18"/>
                <w:highlight w:val="none"/>
                <w:shd w:val="clear" w:color="auto" w:fill="FFFFFF"/>
              </w:rPr>
              <w:t>数字化经营应用场景</w:t>
            </w:r>
          </w:p>
        </w:tc>
        <w:tc>
          <w:tcPr>
            <w:tcW w:w="1950" w:type="dxa"/>
            <w:tcBorders>
              <w:top w:val="single" w:color="999999" w:sz="4" w:space="0"/>
              <w:left w:val="single" w:color="999999" w:sz="6" w:space="0"/>
              <w:bottom w:val="single" w:color="999999" w:sz="6" w:space="0"/>
              <w:right w:val="single" w:color="999999" w:sz="4" w:space="0"/>
            </w:tcBorders>
            <w:noWrap w:val="0"/>
            <w:tcMar>
              <w:left w:w="101" w:type="dxa"/>
              <w:right w:w="101"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sz w:val="18"/>
                <w:szCs w:val="18"/>
                <w:highlight w:val="none"/>
              </w:rPr>
            </w:pPr>
            <w:r>
              <w:rPr>
                <w:rFonts w:hint="eastAsia" w:ascii="仿宋_GB2312" w:eastAsia="仿宋_GB2312" w:cs="仿宋_GB2312"/>
                <w:b/>
                <w:bCs/>
                <w:sz w:val="18"/>
                <w:szCs w:val="18"/>
                <w:highlight w:val="none"/>
                <w:shd w:val="clear" w:color="auto" w:fill="FFFFFF"/>
              </w:rPr>
              <w:t>等级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12" w:hRule="atLeast"/>
          <w:jc w:val="center"/>
        </w:trPr>
        <w:tc>
          <w:tcPr>
            <w:tcW w:w="2543" w:type="dxa"/>
            <w:tcBorders>
              <w:top w:val="single" w:color="999999" w:sz="6" w:space="0"/>
              <w:left w:val="single" w:color="999999" w:sz="4" w:space="0"/>
              <w:bottom w:val="single" w:color="999999" w:sz="4" w:space="0"/>
              <w:right w:val="single" w:color="999999" w:sz="6" w:space="0"/>
            </w:tcBorders>
            <w:noWrap w:val="0"/>
            <w:tcMar>
              <w:left w:w="101" w:type="dxa"/>
              <w:right w:w="101"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sz w:val="18"/>
                <w:szCs w:val="18"/>
                <w:highlight w:val="none"/>
              </w:rPr>
            </w:pPr>
            <w:r>
              <w:rPr>
                <w:rFonts w:hint="default" w:ascii="Times New Roman" w:hAnsi="Times New Roman" w:cs="Times New Roman"/>
                <w:sz w:val="18"/>
                <w:szCs w:val="18"/>
                <w:highlight w:val="none"/>
                <w:shd w:val="clear" w:color="auto" w:fill="FFFFFF"/>
              </w:rPr>
              <w:t>______</w:t>
            </w:r>
            <w:r>
              <w:rPr>
                <w:rFonts w:hint="eastAsia" w:ascii="仿宋_GB2312" w:eastAsia="仿宋_GB2312" w:cs="仿宋_GB2312"/>
                <w:sz w:val="18"/>
                <w:szCs w:val="18"/>
                <w:highlight w:val="none"/>
                <w:shd w:val="clear" w:color="auto" w:fill="FFFFFF"/>
              </w:rPr>
              <w:t>分</w:t>
            </w:r>
          </w:p>
        </w:tc>
        <w:tc>
          <w:tcPr>
            <w:tcW w:w="3139" w:type="dxa"/>
            <w:tcBorders>
              <w:top w:val="single" w:color="999999" w:sz="6" w:space="0"/>
              <w:left w:val="single" w:color="999999" w:sz="6" w:space="0"/>
              <w:bottom w:val="single" w:color="999999" w:sz="4" w:space="0"/>
              <w:right w:val="single" w:color="999999" w:sz="6" w:space="0"/>
            </w:tcBorders>
            <w:noWrap w:val="0"/>
            <w:tcMar>
              <w:left w:w="101" w:type="dxa"/>
              <w:right w:w="101"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rFonts w:hint="eastAsia" w:eastAsia="仿宋_GB2312"/>
                <w:sz w:val="18"/>
                <w:szCs w:val="18"/>
                <w:highlight w:val="none"/>
                <w:lang w:eastAsia="zh-CN"/>
              </w:rPr>
            </w:pPr>
            <w:r>
              <w:rPr>
                <w:rFonts w:hint="default" w:ascii="Times New Roman" w:hAnsi="Times New Roman" w:cs="Times New Roman"/>
                <w:sz w:val="18"/>
                <w:szCs w:val="18"/>
                <w:highlight w:val="none"/>
                <w:shd w:val="clear" w:color="auto" w:fill="FFFFFF"/>
              </w:rPr>
              <w:t>____</w:t>
            </w:r>
            <w:r>
              <w:rPr>
                <w:rFonts w:hint="eastAsia" w:ascii="仿宋_GB2312" w:eastAsia="仿宋_GB2312" w:cs="仿宋_GB2312"/>
                <w:sz w:val="18"/>
                <w:szCs w:val="18"/>
                <w:highlight w:val="none"/>
                <w:shd w:val="clear" w:color="auto" w:fill="FFFFFF"/>
              </w:rPr>
              <w:t>个应用场景等级达到一</w:t>
            </w:r>
            <w:r>
              <w:rPr>
                <w:rFonts w:hint="default" w:ascii="Times New Roman" w:hAnsi="Times New Roman" w:cs="Times New Roman"/>
                <w:sz w:val="18"/>
                <w:szCs w:val="18"/>
                <w:highlight w:val="none"/>
                <w:shd w:val="clear" w:color="auto" w:fill="FFFFFF"/>
              </w:rPr>
              <w:t>/</w:t>
            </w:r>
            <w:r>
              <w:rPr>
                <w:rFonts w:hint="eastAsia" w:ascii="仿宋_GB2312" w:eastAsia="仿宋_GB2312" w:cs="仿宋_GB2312"/>
                <w:sz w:val="18"/>
                <w:szCs w:val="18"/>
                <w:highlight w:val="none"/>
                <w:shd w:val="clear" w:color="auto" w:fill="FFFFFF"/>
              </w:rPr>
              <w:t>二</w:t>
            </w:r>
            <w:r>
              <w:rPr>
                <w:rFonts w:hint="default" w:ascii="Times New Roman" w:hAnsi="Times New Roman" w:cs="Times New Roman"/>
                <w:sz w:val="18"/>
                <w:szCs w:val="18"/>
                <w:highlight w:val="none"/>
                <w:shd w:val="clear" w:color="auto" w:fill="FFFFFF"/>
              </w:rPr>
              <w:t>/</w:t>
            </w:r>
            <w:r>
              <w:rPr>
                <w:rFonts w:hint="eastAsia" w:ascii="仿宋_GB2312" w:eastAsia="仿宋_GB2312" w:cs="仿宋_GB2312"/>
                <w:sz w:val="18"/>
                <w:szCs w:val="18"/>
                <w:highlight w:val="none"/>
                <w:shd w:val="clear" w:color="auto" w:fill="FFFFFF"/>
              </w:rPr>
              <w:t>三</w:t>
            </w:r>
            <w:r>
              <w:rPr>
                <w:rFonts w:hint="default" w:ascii="Times New Roman" w:hAnsi="Times New Roman" w:cs="Times New Roman"/>
                <w:sz w:val="18"/>
                <w:szCs w:val="18"/>
                <w:highlight w:val="none"/>
                <w:shd w:val="clear" w:color="auto" w:fill="FFFFFF"/>
              </w:rPr>
              <w:t>/</w:t>
            </w:r>
            <w:r>
              <w:rPr>
                <w:rFonts w:hint="eastAsia" w:ascii="仿宋_GB2312" w:eastAsia="仿宋_GB2312" w:cs="仿宋_GB2312"/>
                <w:sz w:val="18"/>
                <w:szCs w:val="18"/>
                <w:highlight w:val="none"/>
                <w:shd w:val="clear" w:color="auto" w:fill="FFFFFF"/>
              </w:rPr>
              <w:t>四级，分别是：</w:t>
            </w:r>
            <w:r>
              <w:rPr>
                <w:rFonts w:hint="eastAsia" w:ascii="仿宋_GB2312" w:eastAsia="仿宋_GB2312" w:cs="仿宋_GB2312"/>
                <w:sz w:val="18"/>
                <w:szCs w:val="18"/>
                <w:highlight w:val="none"/>
                <w:u w:val="single"/>
                <w:shd w:val="clear" w:color="auto" w:fill="FFFFFF"/>
                <w:lang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sz w:val="18"/>
                <w:szCs w:val="18"/>
                <w:highlight w:val="none"/>
              </w:rPr>
            </w:pPr>
            <w:r>
              <w:rPr>
                <w:rFonts w:hint="eastAsia" w:ascii="仿宋_GB2312" w:eastAsia="仿宋_GB2312" w:cs="仿宋_GB2312"/>
                <w:sz w:val="18"/>
                <w:szCs w:val="18"/>
                <w:highlight w:val="none"/>
                <w:shd w:val="clear" w:color="auto" w:fill="FFFFFF"/>
              </w:rPr>
              <w:t>其中</w:t>
            </w:r>
            <w:r>
              <w:rPr>
                <w:rFonts w:hint="default" w:ascii="Times New Roman" w:hAnsi="Times New Roman" w:cs="Times New Roman"/>
                <w:sz w:val="18"/>
                <w:szCs w:val="18"/>
                <w:highlight w:val="none"/>
                <w:shd w:val="clear" w:color="auto" w:fill="FFFFFF"/>
              </w:rPr>
              <w:t>____</w:t>
            </w:r>
            <w:r>
              <w:rPr>
                <w:rFonts w:hint="eastAsia" w:ascii="仿宋_GB2312" w:eastAsia="仿宋_GB2312" w:cs="仿宋_GB2312"/>
                <w:sz w:val="18"/>
                <w:szCs w:val="18"/>
                <w:highlight w:val="none"/>
                <w:shd w:val="clear" w:color="auto" w:fill="FFFFFF"/>
              </w:rPr>
              <w:t>个约束性场景</w:t>
            </w:r>
          </w:p>
        </w:tc>
        <w:tc>
          <w:tcPr>
            <w:tcW w:w="1950" w:type="dxa"/>
            <w:tcBorders>
              <w:top w:val="single" w:color="999999" w:sz="6" w:space="0"/>
              <w:left w:val="single" w:color="999999" w:sz="6" w:space="0"/>
              <w:bottom w:val="single" w:color="999999" w:sz="4" w:space="0"/>
              <w:right w:val="single" w:color="999999" w:sz="4" w:space="0"/>
            </w:tcBorders>
            <w:noWrap w:val="0"/>
            <w:tcMar>
              <w:left w:w="101" w:type="dxa"/>
              <w:right w:w="101"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sz w:val="18"/>
                <w:szCs w:val="18"/>
                <w:highlight w:val="none"/>
              </w:rPr>
            </w:pPr>
            <w:r>
              <w:rPr>
                <w:sz w:val="18"/>
                <w:szCs w:val="18"/>
                <w:highlight w:val="none"/>
                <w:shd w:val="clear" w:color="auto" w:fill="FFFFFF"/>
              </w:rPr>
              <w:t>______</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国标黑体" w:hAnsi="国标黑体" w:eastAsia="国标黑体" w:cs="国标黑体"/>
          <w:snapToGrid w:val="0"/>
          <w:color w:val="000000"/>
          <w:kern w:val="2"/>
          <w:sz w:val="32"/>
          <w:szCs w:val="32"/>
          <w:highlight w:val="none"/>
          <w:lang w:bidi="ar"/>
        </w:rPr>
      </w:pPr>
      <w:r>
        <w:rPr>
          <w:rFonts w:hint="eastAsia" w:ascii="国标黑体" w:hAnsi="国标黑体" w:eastAsia="国标黑体" w:cs="国标黑体"/>
          <w:i w:val="0"/>
          <w:iCs w:val="0"/>
          <w:caps w:val="0"/>
          <w:color w:val="333333"/>
          <w:spacing w:val="0"/>
          <w:sz w:val="28"/>
          <w:szCs w:val="28"/>
          <w:highlight w:val="none"/>
          <w:shd w:val="clear" w:color="auto" w:fill="FFFFFF"/>
          <w:lang w:eastAsia="zh-CN"/>
        </w:rPr>
        <w:t>二、</w:t>
      </w:r>
      <w:r>
        <w:rPr>
          <w:rFonts w:hint="eastAsia" w:ascii="国标黑体" w:hAnsi="国标黑体" w:eastAsia="国标黑体" w:cs="国标黑体"/>
          <w:i w:val="0"/>
          <w:iCs w:val="0"/>
          <w:caps w:val="0"/>
          <w:color w:val="333333"/>
          <w:spacing w:val="0"/>
          <w:sz w:val="28"/>
          <w:szCs w:val="28"/>
          <w:highlight w:val="none"/>
          <w:shd w:val="clear" w:color="auto" w:fill="FFFFFF"/>
        </w:rPr>
        <w:t>数字化基础、管理及成效评测表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0"/>
        <w:gridCol w:w="730"/>
        <w:gridCol w:w="869"/>
        <w:gridCol w:w="3"/>
        <w:gridCol w:w="554"/>
        <w:gridCol w:w="5"/>
        <w:gridCol w:w="2383"/>
        <w:gridCol w:w="4000"/>
        <w:gridCol w:w="1089"/>
        <w:gridCol w:w="781"/>
        <w:gridCol w:w="1752"/>
        <w:gridCol w:w="34"/>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840" w:hRule="atLeast"/>
        </w:trPr>
        <w:tc>
          <w:tcPr>
            <w:tcW w:w="271" w:type="pct"/>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一级指标</w:t>
            </w:r>
          </w:p>
        </w:tc>
        <w:tc>
          <w:tcPr>
            <w:tcW w:w="282" w:type="pct"/>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二级指标</w:t>
            </w:r>
          </w:p>
        </w:tc>
        <w:tc>
          <w:tcPr>
            <w:tcW w:w="337" w:type="pct"/>
            <w:gridSpan w:val="2"/>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采集项</w:t>
            </w:r>
          </w:p>
        </w:tc>
        <w:tc>
          <w:tcPr>
            <w:tcW w:w="216" w:type="pct"/>
            <w:gridSpan w:val="2"/>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序号</w:t>
            </w:r>
          </w:p>
        </w:tc>
        <w:tc>
          <w:tcPr>
            <w:tcW w:w="921" w:type="pct"/>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题目</w:t>
            </w:r>
          </w:p>
        </w:tc>
        <w:tc>
          <w:tcPr>
            <w:tcW w:w="1546" w:type="pct"/>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选项</w:t>
            </w:r>
          </w:p>
        </w:tc>
        <w:tc>
          <w:tcPr>
            <w:tcW w:w="418" w:type="pct"/>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选项类型</w:t>
            </w:r>
          </w:p>
        </w:tc>
        <w:tc>
          <w:tcPr>
            <w:tcW w:w="302" w:type="pct"/>
            <w:noWrap w:val="0"/>
            <w:vAlign w:val="center"/>
          </w:tcPr>
          <w:p>
            <w:pPr>
              <w:keepNext w:val="0"/>
              <w:keepLines w:val="0"/>
              <w:widowControl/>
              <w:suppressLineNumbers w:val="0"/>
              <w:shd w:val="clear"/>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cs="仿宋"/>
                <w:b/>
                <w:bCs/>
                <w:i w:val="0"/>
                <w:iCs w:val="0"/>
                <w:color w:val="000000"/>
                <w:kern w:val="0"/>
                <w:sz w:val="18"/>
                <w:szCs w:val="18"/>
                <w:highlight w:val="none"/>
                <w:u w:val="none"/>
                <w:lang w:val="en-US" w:eastAsia="zh-CN" w:bidi="ar"/>
              </w:rPr>
              <w:t>得分</w:t>
            </w:r>
          </w:p>
        </w:tc>
        <w:tc>
          <w:tcPr>
            <w:tcW w:w="690" w:type="pct"/>
            <w:gridSpan w:val="2"/>
            <w:noWrap w:val="0"/>
            <w:vAlign w:val="center"/>
          </w:tcPr>
          <w:p>
            <w:pPr>
              <w:widowControl w:val="0"/>
              <w:spacing w:line="240" w:lineRule="auto"/>
              <w:ind w:firstLine="0" w:firstLineChars="0"/>
              <w:jc w:val="center"/>
              <w:rPr>
                <w:rFonts w:hint="eastAsia" w:ascii="仿宋" w:hAnsi="仿宋" w:eastAsia="仿宋" w:cs="仿宋"/>
                <w:b/>
                <w:bCs/>
                <w:kern w:val="2"/>
                <w:sz w:val="20"/>
                <w:szCs w:val="20"/>
              </w:rPr>
            </w:pPr>
            <w:r>
              <w:rPr>
                <w:rFonts w:hint="eastAsia" w:ascii="仿宋" w:hAnsi="仿宋" w:eastAsia="仿宋" w:cs="仿宋"/>
                <w:b/>
                <w:bCs/>
                <w:kern w:val="2"/>
                <w:sz w:val="20"/>
                <w:szCs w:val="20"/>
                <w:lang w:bidi="ar"/>
              </w:rPr>
              <w:t>佐证材料索引</w:t>
            </w:r>
          </w:p>
          <w:p>
            <w:pPr>
              <w:keepNext w:val="0"/>
              <w:keepLines w:val="0"/>
              <w:widowControl/>
              <w:suppressLineNumbers w:val="0"/>
              <w:shd w:val="clear"/>
              <w:jc w:val="center"/>
              <w:textAlignment w:val="center"/>
              <w:rPr>
                <w:rFonts w:hint="eastAsia" w:ascii="仿宋" w:hAnsi="仿宋" w:cs="仿宋"/>
                <w:b/>
                <w:bCs/>
                <w:i w:val="0"/>
                <w:iCs w:val="0"/>
                <w:color w:val="000000"/>
                <w:kern w:val="0"/>
                <w:sz w:val="18"/>
                <w:szCs w:val="18"/>
                <w:highlight w:val="none"/>
                <w:u w:val="none"/>
                <w:lang w:val="en-US" w:eastAsia="zh-CN" w:bidi="ar"/>
              </w:rPr>
            </w:pPr>
            <w:r>
              <w:rPr>
                <w:rFonts w:hint="eastAsia" w:ascii="仿宋" w:hAnsi="仿宋" w:eastAsia="仿宋" w:cs="仿宋"/>
                <w:b/>
                <w:bCs/>
                <w:sz w:val="20"/>
                <w:szCs w:val="20"/>
                <w:lang w:bidi="ar"/>
              </w:rPr>
              <w:t>（注明</w:t>
            </w:r>
            <w:r>
              <w:rPr>
                <w:rFonts w:hint="eastAsia" w:ascii="仿宋" w:hAnsi="仿宋" w:cs="仿宋"/>
                <w:b/>
                <w:bCs/>
                <w:sz w:val="20"/>
                <w:szCs w:val="20"/>
                <w:lang w:val="en-US" w:eastAsia="zh-CN" w:bidi="ar"/>
              </w:rPr>
              <w:t>在改造总结</w:t>
            </w:r>
            <w:r>
              <w:rPr>
                <w:rFonts w:hint="eastAsia" w:ascii="仿宋" w:hAnsi="仿宋" w:eastAsia="仿宋" w:cs="仿宋"/>
                <w:b/>
                <w:bCs/>
                <w:sz w:val="20"/>
                <w:szCs w:val="20"/>
                <w:lang w:bidi="ar"/>
              </w:rPr>
              <w:t>报告中的章节号以及</w:t>
            </w:r>
            <w:r>
              <w:rPr>
                <w:rFonts w:hint="eastAsia" w:ascii="仿宋" w:hAnsi="仿宋" w:cs="仿宋"/>
                <w:b/>
                <w:bCs/>
                <w:sz w:val="20"/>
                <w:szCs w:val="20"/>
                <w:lang w:val="en-US" w:eastAsia="zh-CN" w:bidi="ar"/>
              </w:rPr>
              <w:t>具体</w:t>
            </w:r>
            <w:r>
              <w:rPr>
                <w:rFonts w:hint="eastAsia" w:ascii="仿宋" w:hAnsi="仿宋" w:eastAsia="仿宋" w:cs="仿宋"/>
                <w:b/>
                <w:bCs/>
                <w:sz w:val="20"/>
                <w:szCs w:val="20"/>
                <w:lang w:bidi="ar"/>
              </w:rPr>
              <w:t>页码数）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数字化基础</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设备系统40%</w:t>
            </w: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网络建设</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40%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921"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企业网络建设连接情况</w:t>
            </w: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多选</w:t>
            </w:r>
          </w:p>
        </w:tc>
        <w:tc>
          <w:tcPr>
            <w:tcW w:w="302" w:type="pct"/>
            <w:vMerge w:val="restart"/>
            <w:noWrap w:val="0"/>
            <w:vAlign w:val="center"/>
          </w:tcPr>
          <w:p>
            <w:pPr>
              <w:keepNext w:val="0"/>
              <w:keepLines w:val="0"/>
              <w:widowControl/>
              <w:suppressLineNumbers w:val="0"/>
              <w:shd w:val="clear"/>
              <w:jc w:val="both"/>
              <w:textAlignment w:val="center"/>
              <w:rPr>
                <w:rFonts w:hint="default" w:ascii="仿宋" w:hAnsi="仿宋" w:eastAsia="仿宋" w:cs="仿宋"/>
                <w:i w:val="0"/>
                <w:iCs w:val="0"/>
                <w:color w:val="000000"/>
                <w:sz w:val="18"/>
                <w:szCs w:val="18"/>
                <w:highlight w:val="none"/>
                <w:u w:val="none"/>
                <w:lang w:val="en-US" w:eastAsia="zh-CN"/>
              </w:rPr>
            </w:pPr>
          </w:p>
        </w:tc>
        <w:tc>
          <w:tcPr>
            <w:tcW w:w="690" w:type="pct"/>
            <w:gridSpan w:val="2"/>
            <w:vMerge w:val="restart"/>
            <w:noWrap w:val="0"/>
            <w:vAlign w:val="center"/>
          </w:tcPr>
          <w:p>
            <w:pPr>
              <w:keepNext w:val="0"/>
              <w:keepLines w:val="0"/>
              <w:widowControl/>
              <w:suppressLineNumbers w:val="0"/>
              <w:shd w:val="clear"/>
              <w:jc w:val="both"/>
              <w:textAlignment w:val="center"/>
              <w:rPr>
                <w:rFonts w:hint="default" w:ascii="仿宋" w:hAnsi="仿宋" w:eastAsia="仿宋" w:cs="仿宋"/>
                <w:i w:val="0"/>
                <w:iCs w:val="0"/>
                <w:color w:val="00000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□企业车间建成工控网络，支持自动化控制应用</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□企业建成应用系统网络，实现大规模设备、人员与信息系统互联</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56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□企业建设/租用 5G 工业网络，支撑系统互联和网络协同应用，满足AGV、工业互联网等规模化移动应用场景需求</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□网络全面覆盖生产现场与环节，具备未来智能化新应用的扩展能力</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设备数字化</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30%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921" w:type="pct"/>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企业的生产设备数字化率。</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具体数据［ ］，其中生产设备数量为［］台，实现数字化的生产设备数量为［］台</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□[0-10%]</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□(10%,20%]</w:t>
            </w:r>
          </w:p>
        </w:tc>
        <w:tc>
          <w:tcPr>
            <w:tcW w:w="418"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□(20%,40%]</w:t>
            </w:r>
          </w:p>
        </w:tc>
        <w:tc>
          <w:tcPr>
            <w:tcW w:w="418"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□(40%,60%]</w:t>
            </w:r>
          </w:p>
        </w:tc>
        <w:tc>
          <w:tcPr>
            <w:tcW w:w="418"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□(60%,100%]</w:t>
            </w:r>
          </w:p>
        </w:tc>
        <w:tc>
          <w:tcPr>
            <w:tcW w:w="418"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1"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设备</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联网</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30%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921" w:type="pct"/>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企业的生产设备联网率</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具体数据［］，其中实现联网的生产设备数量为［ ］台</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□[0-10%]</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□(20%,40%]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□(40%,60%]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□(60%,100%]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数据采集</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20%</w:t>
            </w: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数据</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采集</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20%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921" w:type="pct"/>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企业实现数据自动采集的业务环节覆盖范围</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□无             </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多选</w:t>
            </w:r>
          </w:p>
        </w:tc>
        <w:tc>
          <w:tcPr>
            <w:tcW w:w="302" w:type="pct"/>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□产品设计*</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□工艺设计</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□营销管理*</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□售后服务</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□计划排程</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□生产管控</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pct"/>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□质量管理*</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690"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信息系统20%</w:t>
            </w: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信息系统20%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921" w:type="pct"/>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企业使用本地或云化部署的信息化服务，实现业务的数字化管理情况</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□单个业务环节</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□多个业务环节（2个及以上）</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□绝大部分业务环节（大于80％）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□全覆盖</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信息安全20%</w:t>
            </w: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网络</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安全</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921" w:type="pct"/>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企业在保障网络安全方面采取的举措</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多选</w:t>
            </w:r>
          </w:p>
        </w:tc>
        <w:tc>
          <w:tcPr>
            <w:tcW w:w="302" w:type="pct"/>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□建立了网络安全管理制度</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□使用了网络安全产品及服务（如防火墙、网络分区、入侵检测、身份认证等）</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□自行或委托专业评估机构实施网络安全风险评估</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□建立网络边界安全访问控制能力，及网络关键节点入侵检测和恶意代码检测能力</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数据</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安全</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921" w:type="pct"/>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企业在保障数据安全方面采取的举措</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多选</w:t>
            </w:r>
          </w:p>
        </w:tc>
        <w:tc>
          <w:tcPr>
            <w:tcW w:w="302" w:type="pct"/>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restart"/>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□建立了数据安全管理制度</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□使用了数据安全产品及服务（如数据加密、数据备份与恢复、数据脱敏、数据分级分类保护等）</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□自行或委托专业评估机构实施数据安全风险评估</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□建立数据台账（类型、用途、数量、数据源单位、使用单位等），定期开展数据安全保障能力核验</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restar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数字化管理30%</w:t>
            </w: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规划管理50%</w:t>
            </w:r>
          </w:p>
        </w:tc>
        <w:tc>
          <w:tcPr>
            <w:tcW w:w="337"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规划</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实施</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6"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921" w:type="pct"/>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企业对数字化的认识与执行水平情况</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702" w:type="pct"/>
            <w:gridSpan w:val="3"/>
            <w:vMerge w:val="restart"/>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□已经主动了解数字化相关内容</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□已经制定实施数字化的规划、计划及保障措施等</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□已经着手开始进行单点或多点的数字化改造</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□已经通过数字化手段实现业务模式、管理决策方式的改变并取得成效</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7"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6"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1" w:type="pct"/>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□定期组织员工去数字化建设成效较好的同行业公司参观交流，增强数字化转型意识</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702" w:type="pct"/>
            <w:gridSpan w:val="3"/>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20" w:hRule="atLeast"/>
        </w:trPr>
        <w:tc>
          <w:tcPr>
            <w:tcW w:w="271" w:type="pct"/>
            <w:vMerge w:val="continue"/>
            <w:noWrap w:val="0"/>
            <w:vAlign w:val="center"/>
          </w:tcPr>
          <w:p>
            <w:pPr>
              <w:pStyle w:val="13"/>
              <w:shd w:val="clear"/>
              <w:jc w:val="both"/>
              <w:rPr>
                <w:rFonts w:hint="eastAsia"/>
                <w:highlight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管理</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机制</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5"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923" w:type="pct"/>
            <w:gridSpan w:val="2"/>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企业数字化管理制度的建立情况</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多选</w:t>
            </w:r>
          </w:p>
        </w:tc>
        <w:tc>
          <w:tcPr>
            <w:tcW w:w="302"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□建立数字化实施工作流程</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□建立信息系统建设及运营管理制度</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restart"/>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□建立数据资源管理制度</w:t>
            </w:r>
          </w:p>
        </w:tc>
        <w:tc>
          <w:tcPr>
            <w:tcW w:w="418" w:type="pct"/>
            <w:vMerge w:val="restart"/>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2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□建立与数字化融合的科研、业务、产品等方面的创新激励制度</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要素保障50%</w:t>
            </w:r>
          </w:p>
        </w:tc>
        <w:tc>
          <w:tcPr>
            <w:tcW w:w="336"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人才</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建设</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5"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923" w:type="pct"/>
            <w:gridSpan w:val="2"/>
            <w:vMerge w:val="restar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企业在数字化人才建设方面采取的举措</w:t>
            </w: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多选</w:t>
            </w:r>
          </w:p>
        </w:tc>
        <w:tc>
          <w:tcPr>
            <w:tcW w:w="302"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□配备专职／兼职的数字化人才</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□设置专门的数字化岗位／部门</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left"/>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□定期对员工开展数字化方面培训</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□有明确的数字化人才绩效及薪酬管理</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8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□有明确的数字化人才梯度培育机制</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41"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资金</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保障</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5"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923" w:type="pct"/>
            <w:gridSpan w:val="2"/>
            <w:vMerge w:val="restar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企业近三年平均数字化投入总额占营业额的平均比例（企业成立不满三年按照实际成立时长计算年均投入）</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具体数据为［］万元／年</w:t>
            </w: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□[0-10%]</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41"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41"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□(20%,40%]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41"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□(40%,60%]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41"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□(60%,100%]</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440" w:hRule="atLeast"/>
        </w:trPr>
        <w:tc>
          <w:tcPr>
            <w:tcW w:w="271"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数字化成效</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20%</w:t>
            </w: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绿色低碳30%</w:t>
            </w:r>
          </w:p>
        </w:tc>
        <w:tc>
          <w:tcPr>
            <w:tcW w:w="336"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绿色</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低碳</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100%</w:t>
            </w:r>
          </w:p>
        </w:tc>
        <w:tc>
          <w:tcPr>
            <w:tcW w:w="215"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923" w:type="pct"/>
            <w:gridSpan w:val="2"/>
            <w:vMerge w:val="restar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企业上年度每百元营业收入中综合能源消费量相比于前年变化情况</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企业上年综合能源消费量为［ ］吨标准煤，前年数据为［  ］吨标准煤</w:t>
            </w: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□降低</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677" w:type="pct"/>
            <w:vMerge w:val="restart"/>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44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□持平</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44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92"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产品质量30%</w:t>
            </w:r>
          </w:p>
        </w:tc>
        <w:tc>
          <w:tcPr>
            <w:tcW w:w="336"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产品</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质量</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100%</w:t>
            </w:r>
          </w:p>
        </w:tc>
        <w:tc>
          <w:tcPr>
            <w:tcW w:w="215"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923" w:type="pct"/>
            <w:gridSpan w:val="2"/>
            <w:vMerge w:val="restar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企业上年度月均产品合格率相比于前年变化情况</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具体数值为［ ］</w:t>
            </w: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□降低</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392"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□持平</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171"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612"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市场效益40%</w:t>
            </w:r>
          </w:p>
        </w:tc>
        <w:tc>
          <w:tcPr>
            <w:tcW w:w="336"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市场</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表现</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5"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923" w:type="pct"/>
            <w:gridSpan w:val="2"/>
            <w:vMerge w:val="restar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企业上年度人均营业收入相比于前年变化情况</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企业上年员工人数为［］人，营业收入为［ ］万元；</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前年员工人数为［］人，营业收入为［ ］万元</w:t>
            </w: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□降低</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612"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□持平</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612"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w:t>
            </w:r>
          </w:p>
        </w:tc>
        <w:tc>
          <w:tcPr>
            <w:tcW w:w="418"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450" w:hRule="atLeast"/>
        </w:trPr>
        <w:tc>
          <w:tcPr>
            <w:tcW w:w="271"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center"/>
              <w:rPr>
                <w:rFonts w:hint="eastAsia" w:ascii="仿宋" w:hAnsi="仿宋" w:eastAsia="仿宋" w:cs="仿宋"/>
                <w:i w:val="0"/>
                <w:iCs w:val="0"/>
                <w:color w:val="000000"/>
                <w:sz w:val="18"/>
                <w:szCs w:val="18"/>
                <w:highlight w:val="none"/>
                <w:u w:val="none"/>
              </w:rPr>
            </w:pPr>
          </w:p>
        </w:tc>
        <w:tc>
          <w:tcPr>
            <w:tcW w:w="336"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价值</w:t>
            </w:r>
          </w:p>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效益</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50%</w:t>
            </w:r>
          </w:p>
        </w:tc>
        <w:tc>
          <w:tcPr>
            <w:tcW w:w="215" w:type="pct"/>
            <w:gridSpan w:val="2"/>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923" w:type="pct"/>
            <w:gridSpan w:val="2"/>
            <w:vMerge w:val="restar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企业上年度每百元营业收入中的成本相比于前年变化情况</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企业上年成本为［ ］万元；前年成本为［  ]万元</w:t>
            </w: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w:t>
            </w:r>
          </w:p>
        </w:tc>
        <w:tc>
          <w:tcPr>
            <w:tcW w:w="418" w:type="pct"/>
            <w:vMerge w:val="restart"/>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单选</w:t>
            </w:r>
          </w:p>
        </w:tc>
        <w:tc>
          <w:tcPr>
            <w:tcW w:w="302"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restart"/>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550"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□持平</w:t>
            </w:r>
          </w:p>
        </w:tc>
        <w:tc>
          <w:tcPr>
            <w:tcW w:w="418"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524" w:hRule="atLeast"/>
        </w:trPr>
        <w:tc>
          <w:tcPr>
            <w:tcW w:w="271"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82"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36"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215"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23" w:type="pct"/>
            <w:gridSpan w:val="2"/>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546" w:type="pct"/>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□降低</w:t>
            </w:r>
          </w:p>
        </w:tc>
        <w:tc>
          <w:tcPr>
            <w:tcW w:w="418" w:type="pct"/>
            <w:vMerge w:val="continue"/>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302"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c>
          <w:tcPr>
            <w:tcW w:w="677" w:type="pct"/>
            <w:vMerge w:val="continue"/>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4" w:type="pct"/>
          <w:trHeight w:val="280" w:hRule="atLeast"/>
        </w:trPr>
        <w:tc>
          <w:tcPr>
            <w:tcW w:w="3994" w:type="pct"/>
            <w:gridSpan w:val="9"/>
            <w:noWrap/>
            <w:vAlign w:val="bottom"/>
          </w:tcPr>
          <w:p>
            <w:pPr>
              <w:shd w:val="clear"/>
              <w:jc w:val="both"/>
              <w:rPr>
                <w:rFonts w:hint="eastAsia" w:ascii="仿宋" w:hAnsi="仿宋" w:eastAsia="仿宋" w:cs="仿宋"/>
                <w:b/>
                <w:bCs/>
                <w:i w:val="0"/>
                <w:iCs w:val="0"/>
                <w:color w:val="000000"/>
                <w:sz w:val="18"/>
                <w:szCs w:val="18"/>
                <w:highlight w:val="none"/>
                <w:u w:val="none"/>
                <w:lang w:val="en-US" w:eastAsia="zh-CN"/>
              </w:rPr>
            </w:pPr>
            <w:r>
              <w:rPr>
                <w:rFonts w:hint="eastAsia" w:ascii="仿宋" w:hAnsi="仿宋" w:eastAsia="仿宋" w:cs="仿宋"/>
                <w:b/>
                <w:bCs/>
                <w:i w:val="0"/>
                <w:iCs w:val="0"/>
                <w:color w:val="000000"/>
                <w:sz w:val="18"/>
                <w:szCs w:val="18"/>
                <w:highlight w:val="none"/>
                <w:u w:val="none"/>
                <w:lang w:val="en-US" w:eastAsia="zh-CN"/>
              </w:rPr>
              <w:t>总分</w:t>
            </w:r>
          </w:p>
        </w:tc>
        <w:tc>
          <w:tcPr>
            <w:tcW w:w="302" w:type="pct"/>
            <w:noWrap/>
            <w:vAlign w:val="center"/>
          </w:tcPr>
          <w:p>
            <w:pPr>
              <w:shd w:val="clear"/>
              <w:jc w:val="both"/>
              <w:rPr>
                <w:rFonts w:hint="eastAsia" w:ascii="仿宋" w:hAnsi="仿宋" w:eastAsia="仿宋" w:cs="仿宋"/>
                <w:b/>
                <w:bCs/>
                <w:i w:val="0"/>
                <w:iCs w:val="0"/>
                <w:color w:val="000000"/>
                <w:sz w:val="18"/>
                <w:szCs w:val="18"/>
                <w:highlight w:val="none"/>
                <w:u w:val="none"/>
              </w:rPr>
            </w:pPr>
          </w:p>
        </w:tc>
        <w:tc>
          <w:tcPr>
            <w:tcW w:w="677" w:type="pct"/>
            <w:noWrap/>
            <w:vAlign w:val="center"/>
          </w:tcPr>
          <w:p>
            <w:pPr>
              <w:shd w:val="clear"/>
              <w:jc w:val="both"/>
              <w:rPr>
                <w:rFonts w:hint="eastAsia" w:ascii="仿宋" w:hAnsi="仿宋" w:eastAsia="仿宋" w:cs="仿宋"/>
                <w:b/>
                <w:bCs/>
                <w:i w:val="0"/>
                <w:iCs w:val="0"/>
                <w:color w:val="000000"/>
                <w:sz w:val="18"/>
                <w:szCs w:val="18"/>
                <w:highlight w:val="none"/>
                <w:u w:val="none"/>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ascii="楷体" w:hAnsi="楷体" w:eastAsia="楷体" w:cs="楷体"/>
          <w:i w:val="0"/>
          <w:iCs w:val="0"/>
          <w:caps w:val="0"/>
          <w:color w:val="333333"/>
          <w:spacing w:val="0"/>
          <w:sz w:val="28"/>
          <w:szCs w:val="28"/>
          <w:highlight w:val="none"/>
          <w:shd w:val="clear" w:color="auto" w:fill="FFFFFF"/>
        </w:rPr>
      </w:pPr>
    </w:p>
    <w:p>
      <w:pPr>
        <w:numPr>
          <w:ilvl w:val="0"/>
          <w:numId w:val="0"/>
        </w:numPr>
        <w:kinsoku/>
        <w:autoSpaceDE/>
        <w:autoSpaceDN/>
        <w:adjustRightInd/>
        <w:snapToGrid/>
        <w:spacing w:line="480" w:lineRule="exact"/>
        <w:textAlignment w:val="auto"/>
        <w:outlineLvl w:val="0"/>
        <w:rPr>
          <w:rFonts w:hint="eastAsia" w:ascii="仿宋_GB2312" w:hAnsi="仿宋_GB2312" w:eastAsia="仿宋_GB2312" w:cs="仿宋_GB2312"/>
          <w:b w:val="0"/>
          <w:bCs w:val="0"/>
          <w:snapToGrid/>
          <w:color w:val="auto"/>
          <w:sz w:val="24"/>
          <w:szCs w:val="24"/>
        </w:rPr>
        <w:sectPr>
          <w:footerReference r:id="rId7" w:type="default"/>
          <w:pgSz w:w="16838" w:h="11906" w:orient="landscape"/>
          <w:pgMar w:top="1587" w:right="2098" w:bottom="1474" w:left="1814" w:header="851" w:footer="992" w:gutter="0"/>
          <w:pgNumType w:fmt="decimal"/>
          <w:cols w:space="720" w:num="1"/>
          <w:docGrid w:type="lines" w:linePitch="312" w:charSpace="0"/>
        </w:sectPr>
      </w:pPr>
      <w:r>
        <w:rPr>
          <w:rFonts w:hint="eastAsia" w:ascii="仿宋_GB2312" w:hAnsi="仿宋_GB2312" w:eastAsia="仿宋_GB2312" w:cs="仿宋_GB2312"/>
          <w:b w:val="0"/>
          <w:bCs w:val="0"/>
          <w:snapToGrid/>
          <w:color w:val="auto"/>
          <w:sz w:val="24"/>
          <w:szCs w:val="24"/>
          <w:lang w:val="en-US" w:eastAsia="zh-CN"/>
        </w:rPr>
        <w:t>备注：以工信部发布的</w:t>
      </w:r>
      <w:r>
        <w:rPr>
          <w:rFonts w:hint="eastAsia" w:ascii="仿宋_GB2312" w:hAnsi="仿宋_GB2312" w:eastAsia="仿宋_GB2312" w:cs="仿宋_GB2312"/>
          <w:b w:val="0"/>
          <w:bCs w:val="0"/>
          <w:snapToGrid/>
          <w:color w:val="auto"/>
          <w:sz w:val="24"/>
          <w:szCs w:val="24"/>
        </w:rPr>
        <w:t>《</w:t>
      </w:r>
      <w:r>
        <w:rPr>
          <w:rFonts w:hint="eastAsia" w:ascii="仿宋_GB2312" w:hAnsi="仿宋_GB2312" w:eastAsia="仿宋_GB2312" w:cs="仿宋_GB2312"/>
          <w:b w:val="0"/>
          <w:bCs w:val="0"/>
          <w:snapToGrid/>
          <w:color w:val="auto"/>
          <w:sz w:val="24"/>
          <w:szCs w:val="24"/>
          <w:lang w:val="en-US" w:eastAsia="zh-CN"/>
        </w:rPr>
        <w:t>中小企业数字化水平评测指标（2024年版）》中的</w:t>
      </w:r>
      <w:r>
        <w:rPr>
          <w:rFonts w:hint="eastAsia" w:ascii="仿宋_GB2312" w:hAnsi="仿宋_GB2312" w:eastAsia="仿宋_GB2312" w:cs="仿宋_GB2312"/>
          <w:b w:val="0"/>
          <w:bCs w:val="0"/>
          <w:snapToGrid/>
          <w:color w:val="auto"/>
          <w:sz w:val="24"/>
          <w:szCs w:val="24"/>
        </w:rPr>
        <w:t>指标</w:t>
      </w:r>
      <w:r>
        <w:rPr>
          <w:rFonts w:hint="eastAsia" w:ascii="仿宋_GB2312" w:hAnsi="仿宋_GB2312" w:eastAsia="仿宋_GB2312" w:cs="仿宋_GB2312"/>
          <w:b w:val="0"/>
          <w:bCs w:val="0"/>
          <w:snapToGrid/>
          <w:color w:val="auto"/>
          <w:sz w:val="24"/>
          <w:szCs w:val="24"/>
          <w:lang w:val="en-US" w:eastAsia="zh-CN"/>
        </w:rPr>
        <w:t>为依据</w:t>
      </w:r>
      <w:r>
        <w:rPr>
          <w:rFonts w:hint="eastAsia" w:ascii="仿宋_GB2312" w:hAnsi="仿宋_GB2312" w:eastAsia="仿宋_GB2312" w:cs="仿宋_GB2312"/>
          <w:b w:val="0"/>
          <w:bCs w:val="0"/>
          <w:snapToGrid/>
          <w:color w:val="auto"/>
          <w:sz w:val="24"/>
          <w:szCs w:val="24"/>
        </w:rPr>
        <w:t>，从数字化基础、</w:t>
      </w:r>
      <w:r>
        <w:rPr>
          <w:rFonts w:hint="eastAsia" w:ascii="仿宋_GB2312" w:hAnsi="仿宋_GB2312" w:eastAsia="仿宋_GB2312" w:cs="仿宋_GB2312"/>
          <w:b w:val="0"/>
          <w:bCs w:val="0"/>
          <w:snapToGrid/>
          <w:color w:val="auto"/>
          <w:sz w:val="24"/>
          <w:szCs w:val="24"/>
          <w:lang w:val="en-US" w:eastAsia="zh-CN"/>
        </w:rPr>
        <w:t>数字化管理、</w:t>
      </w:r>
      <w:r>
        <w:rPr>
          <w:rFonts w:hint="eastAsia" w:ascii="仿宋_GB2312" w:hAnsi="仿宋_GB2312" w:eastAsia="仿宋_GB2312" w:cs="仿宋_GB2312"/>
          <w:b w:val="0"/>
          <w:bCs w:val="0"/>
          <w:snapToGrid/>
          <w:color w:val="auto"/>
          <w:sz w:val="24"/>
          <w:szCs w:val="24"/>
        </w:rPr>
        <w:t>数字化成效等</w:t>
      </w:r>
      <w:r>
        <w:rPr>
          <w:rFonts w:hint="eastAsia" w:ascii="仿宋_GB2312" w:hAnsi="仿宋_GB2312" w:eastAsia="仿宋_GB2312" w:cs="仿宋_GB2312"/>
          <w:b w:val="0"/>
          <w:bCs w:val="0"/>
          <w:snapToGrid/>
          <w:color w:val="auto"/>
          <w:sz w:val="24"/>
          <w:szCs w:val="24"/>
          <w:lang w:val="en-US" w:eastAsia="zh-CN"/>
        </w:rPr>
        <w:t>维度</w:t>
      </w:r>
      <w:r>
        <w:rPr>
          <w:rFonts w:hint="eastAsia" w:ascii="仿宋_GB2312" w:hAnsi="仿宋_GB2312" w:eastAsia="仿宋_GB2312" w:cs="仿宋_GB2312"/>
          <w:b w:val="0"/>
          <w:bCs w:val="0"/>
          <w:snapToGrid/>
          <w:color w:val="auto"/>
          <w:sz w:val="24"/>
          <w:szCs w:val="24"/>
        </w:rPr>
        <w:t>评估指标，以精炼的文字、清晰的图片或截图等形式描述项目数字化建设实际内容，并将</w:t>
      </w:r>
      <w:r>
        <w:rPr>
          <w:rFonts w:hint="eastAsia" w:ascii="仿宋_GB2312" w:hAnsi="仿宋_GB2312" w:eastAsia="仿宋_GB2312" w:cs="仿宋_GB2312"/>
          <w:b w:val="0"/>
          <w:bCs w:val="0"/>
          <w:snapToGrid/>
          <w:color w:val="auto"/>
          <w:sz w:val="24"/>
          <w:szCs w:val="24"/>
          <w:lang w:val="en-US" w:eastAsia="zh-CN"/>
        </w:rPr>
        <w:t>总结报告中的</w:t>
      </w:r>
      <w:r>
        <w:rPr>
          <w:rFonts w:hint="eastAsia" w:ascii="仿宋_GB2312" w:hAnsi="仿宋_GB2312" w:eastAsia="仿宋_GB2312" w:cs="仿宋_GB2312"/>
          <w:b w:val="0"/>
          <w:bCs w:val="0"/>
          <w:snapToGrid/>
          <w:color w:val="auto"/>
          <w:sz w:val="24"/>
          <w:szCs w:val="24"/>
        </w:rPr>
        <w:t>章节号以及页码数填入在上节表格中，以此作为数字化水平的佐证材料。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both"/>
        <w:rPr>
          <w:rFonts w:hint="eastAsia" w:ascii="国标黑体" w:hAnsi="国标黑体" w:eastAsia="国标黑体" w:cs="国标黑体"/>
          <w:i w:val="0"/>
          <w:iCs w:val="0"/>
          <w:caps w:val="0"/>
          <w:color w:val="333333"/>
          <w:spacing w:val="0"/>
          <w:sz w:val="28"/>
          <w:szCs w:val="28"/>
          <w:highlight w:val="none"/>
          <w:shd w:val="clear" w:color="auto" w:fill="FFFFFF"/>
        </w:rPr>
      </w:pPr>
      <w:r>
        <w:rPr>
          <w:rFonts w:hint="eastAsia" w:ascii="国标黑体" w:hAnsi="国标黑体" w:eastAsia="国标黑体" w:cs="国标黑体"/>
          <w:i w:val="0"/>
          <w:iCs w:val="0"/>
          <w:caps w:val="0"/>
          <w:color w:val="333333"/>
          <w:spacing w:val="0"/>
          <w:sz w:val="28"/>
          <w:szCs w:val="28"/>
          <w:highlight w:val="none"/>
          <w:shd w:val="clear" w:color="auto" w:fill="FFFFFF"/>
          <w:lang w:eastAsia="zh-CN"/>
        </w:rPr>
        <w:t>三、</w:t>
      </w:r>
      <w:r>
        <w:rPr>
          <w:rFonts w:hint="eastAsia" w:ascii="国标黑体" w:hAnsi="国标黑体" w:eastAsia="国标黑体" w:cs="国标黑体"/>
          <w:i w:val="0"/>
          <w:iCs w:val="0"/>
          <w:caps w:val="0"/>
          <w:color w:val="333333"/>
          <w:spacing w:val="0"/>
          <w:sz w:val="28"/>
          <w:szCs w:val="28"/>
          <w:highlight w:val="none"/>
          <w:shd w:val="clear" w:color="auto" w:fill="FFFFFF"/>
        </w:rPr>
        <w:t>数字化经营应用场景等级判定表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9"/>
        <w:gridCol w:w="1723"/>
        <w:gridCol w:w="1832"/>
        <w:gridCol w:w="2048"/>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一级指标</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二级指标</w:t>
            </w:r>
            <w:r>
              <w:rPr>
                <w:rFonts w:hint="eastAsia" w:ascii="仿宋" w:hAnsi="仿宋" w:eastAsia="仿宋" w:cs="仿宋"/>
                <w:b/>
                <w:bCs/>
                <w:i w:val="0"/>
                <w:iCs w:val="0"/>
                <w:color w:val="000000"/>
                <w:kern w:val="0"/>
                <w:sz w:val="18"/>
                <w:szCs w:val="18"/>
                <w:highlight w:val="none"/>
                <w:u w:val="none"/>
                <w:lang w:val="en-US" w:eastAsia="zh-CN" w:bidi="ar"/>
              </w:rPr>
              <w:br w:type="textWrapping"/>
            </w:r>
            <w:r>
              <w:rPr>
                <w:rFonts w:hint="eastAsia" w:ascii="仿宋" w:hAnsi="仿宋" w:eastAsia="仿宋" w:cs="仿宋"/>
                <w:b/>
                <w:bCs/>
                <w:i w:val="0"/>
                <w:iCs w:val="0"/>
                <w:color w:val="000000"/>
                <w:kern w:val="0"/>
                <w:sz w:val="18"/>
                <w:szCs w:val="18"/>
                <w:highlight w:val="none"/>
                <w:u w:val="none"/>
                <w:lang w:val="en-US" w:eastAsia="zh-CN" w:bidi="ar"/>
              </w:rPr>
              <w:t>（业务场景）</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仿宋" w:hAnsi="仿宋" w:eastAsia="仿宋" w:cs="仿宋"/>
                <w:b/>
                <w:bCs/>
                <w:i w:val="0"/>
                <w:iCs w:val="0"/>
                <w:color w:val="000000"/>
                <w:sz w:val="18"/>
                <w:szCs w:val="18"/>
                <w:highlight w:val="none"/>
                <w:u w:val="none"/>
                <w:lang w:val="en-US"/>
              </w:rPr>
            </w:pPr>
            <w:r>
              <w:rPr>
                <w:rFonts w:hint="eastAsia" w:ascii="仿宋" w:hAnsi="仿宋" w:cs="仿宋"/>
                <w:b/>
                <w:bCs/>
                <w:i w:val="0"/>
                <w:iCs w:val="0"/>
                <w:color w:val="000000"/>
                <w:kern w:val="0"/>
                <w:sz w:val="18"/>
                <w:szCs w:val="18"/>
                <w:highlight w:val="none"/>
                <w:u w:val="none"/>
                <w:lang w:val="en-US" w:eastAsia="zh-CN" w:bidi="ar"/>
              </w:rPr>
              <w:t>等级判定</w:t>
            </w:r>
          </w:p>
        </w:tc>
        <w:tc>
          <w:tcPr>
            <w:tcW w:w="11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仿宋" w:hAnsi="仿宋" w:eastAsia="仿宋" w:cs="仿宋"/>
                <w:b/>
                <w:bCs/>
                <w:i w:val="0"/>
                <w:iCs w:val="0"/>
                <w:color w:val="000000"/>
                <w:sz w:val="18"/>
                <w:szCs w:val="18"/>
                <w:highlight w:val="none"/>
                <w:u w:val="none"/>
                <w:lang w:val="en-US" w:eastAsia="zh-CN"/>
              </w:rPr>
            </w:pPr>
            <w:r>
              <w:rPr>
                <w:rFonts w:hint="eastAsia" w:ascii="仿宋" w:hAnsi="仿宋" w:cs="仿宋"/>
                <w:b/>
                <w:bCs/>
                <w:i w:val="0"/>
                <w:iCs w:val="0"/>
                <w:color w:val="000000"/>
                <w:sz w:val="18"/>
                <w:szCs w:val="18"/>
                <w:highlight w:val="none"/>
                <w:u w:val="none"/>
                <w:lang w:val="en-US" w:eastAsia="zh-CN"/>
              </w:rPr>
              <w:t>改造后等级</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240" w:lineRule="auto"/>
              <w:ind w:firstLine="0" w:firstLineChars="0"/>
              <w:jc w:val="left"/>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cs="仿宋"/>
                <w:b/>
                <w:bCs/>
                <w:kern w:val="2"/>
                <w:sz w:val="20"/>
                <w:szCs w:val="20"/>
                <w:lang w:val="en-US" w:eastAsia="zh-CN" w:bidi="ar"/>
              </w:rPr>
              <w:t>改造后等级</w:t>
            </w:r>
            <w:r>
              <w:rPr>
                <w:rFonts w:hint="eastAsia" w:ascii="仿宋" w:hAnsi="仿宋" w:eastAsia="仿宋" w:cs="仿宋"/>
                <w:b/>
                <w:bCs/>
                <w:kern w:val="2"/>
                <w:sz w:val="20"/>
                <w:szCs w:val="20"/>
                <w:lang w:bidi="ar"/>
              </w:rPr>
              <w:t>佐证材料索引</w:t>
            </w:r>
            <w:r>
              <w:rPr>
                <w:rFonts w:hint="eastAsia" w:ascii="仿宋" w:hAnsi="仿宋" w:eastAsia="仿宋" w:cs="仿宋"/>
                <w:b/>
                <w:bCs/>
                <w:sz w:val="20"/>
                <w:szCs w:val="20"/>
                <w:lang w:bidi="ar"/>
              </w:rPr>
              <w:t>（注明</w:t>
            </w:r>
            <w:r>
              <w:rPr>
                <w:rFonts w:hint="eastAsia" w:ascii="仿宋" w:hAnsi="仿宋" w:cs="仿宋"/>
                <w:b/>
                <w:bCs/>
                <w:sz w:val="20"/>
                <w:szCs w:val="20"/>
                <w:lang w:val="en-US" w:eastAsia="zh-CN" w:bidi="ar"/>
              </w:rPr>
              <w:t>在改造总结</w:t>
            </w:r>
            <w:r>
              <w:rPr>
                <w:rFonts w:hint="eastAsia" w:ascii="仿宋" w:hAnsi="仿宋" w:eastAsia="仿宋" w:cs="仿宋"/>
                <w:b/>
                <w:bCs/>
                <w:sz w:val="20"/>
                <w:szCs w:val="20"/>
                <w:lang w:bidi="ar"/>
              </w:rPr>
              <w:t>报告中的章节号以及</w:t>
            </w:r>
            <w:r>
              <w:rPr>
                <w:rFonts w:hint="eastAsia" w:ascii="仿宋" w:hAnsi="仿宋" w:cs="仿宋"/>
                <w:b/>
                <w:bCs/>
                <w:sz w:val="20"/>
                <w:szCs w:val="20"/>
                <w:lang w:val="en-US" w:eastAsia="zh-CN" w:bidi="ar"/>
              </w:rPr>
              <w:t>具体</w:t>
            </w:r>
            <w:r>
              <w:rPr>
                <w:rFonts w:hint="eastAsia" w:ascii="仿宋" w:hAnsi="仿宋" w:eastAsia="仿宋" w:cs="仿宋"/>
                <w:b/>
                <w:bCs/>
                <w:sz w:val="20"/>
                <w:szCs w:val="20"/>
                <w:lang w:bidi="ar"/>
              </w:rPr>
              <w:t>页码数）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产品生命周期数字化</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产品设计*</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仿宋" w:hAnsi="仿宋" w:eastAsia="仿宋" w:cs="仿宋"/>
                <w:i/>
                <w:iCs/>
                <w:color w:val="000000"/>
                <w:sz w:val="18"/>
                <w:szCs w:val="18"/>
                <w:highlight w:val="none"/>
                <w:u w:val="none"/>
                <w:lang w:val="en-US" w:eastAsia="zh-CN"/>
              </w:rPr>
            </w:pPr>
            <w:r>
              <w:rPr>
                <w:rFonts w:hint="eastAsia" w:ascii="仿宋" w:hAnsi="仿宋" w:cs="仿宋"/>
                <w:i/>
                <w:iCs/>
                <w:color w:val="000000"/>
                <w:sz w:val="18"/>
                <w:szCs w:val="18"/>
                <w:highlight w:val="none"/>
                <w:u w:val="none"/>
                <w:lang w:val="en-US" w:eastAsia="zh-CN"/>
              </w:rPr>
              <w:t>一级/二级/三级/四级</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default" w:ascii="仿宋" w:hAnsi="仿宋" w:eastAsia="仿宋" w:cs="仿宋"/>
                <w:i/>
                <w:iCs/>
                <w:color w:val="000000"/>
                <w:sz w:val="18"/>
                <w:szCs w:val="18"/>
                <w:highlight w:val="none"/>
                <w:u w:val="none"/>
                <w:lang w:val="en-US" w:eastAsia="zh-CN"/>
              </w:rPr>
            </w:pPr>
            <w:r>
              <w:rPr>
                <w:rFonts w:hint="eastAsia" w:ascii="仿宋" w:hAnsi="仿宋" w:cs="仿宋"/>
                <w:i/>
                <w:iCs/>
                <w:color w:val="000000"/>
                <w:sz w:val="18"/>
                <w:szCs w:val="18"/>
                <w:highlight w:val="none"/>
                <w:u w:val="none"/>
                <w:lang w:val="en-US" w:eastAsia="zh-CN"/>
              </w:rPr>
              <w:t>一级/二级/三级/四级</w:t>
            </w: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cs="仿宋"/>
                <w:i/>
                <w:iCs/>
                <w:color w:val="00000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工艺设计</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营销管理*</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售后服务</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生产执行数字化</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计划排程</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生产管控*</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质量管理*</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设备管理*</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安全生产*</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能耗管理*</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供应链数字化</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采购管理*</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智能管理决策数字化</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仓储物流*</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财务管理*</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人力资源</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nil"/>
              <w:left w:val="nil"/>
              <w:bottom w:val="nil"/>
              <w:right w:val="nil"/>
            </w:tcBorders>
            <w:noWrap/>
            <w:vAlign w:val="bottom"/>
          </w:tcPr>
          <w:p>
            <w:pPr>
              <w:keepNext w:val="0"/>
              <w:keepLines w:val="0"/>
              <w:widowControl/>
              <w:suppressLineNumbers w:val="0"/>
              <w:shd w:val="clear"/>
              <w:jc w:val="both"/>
              <w:textAlignment w:val="bottom"/>
              <w:rPr>
                <w:rFonts w:hint="eastAsia" w:ascii="仿宋" w:hAnsi="仿宋" w:eastAsia="仿宋" w:cs="仿宋"/>
                <w:i w:val="0"/>
                <w:iCs w:val="0"/>
                <w:color w:val="000000"/>
                <w:sz w:val="18"/>
                <w:szCs w:val="18"/>
                <w:highlight w:val="none"/>
                <w:u w:val="none"/>
              </w:rPr>
            </w:pPr>
          </w:p>
        </w:tc>
        <w:tc>
          <w:tcPr>
            <w:tcW w:w="1012" w:type="pct"/>
            <w:tcBorders>
              <w:top w:val="nil"/>
              <w:left w:val="nil"/>
              <w:bottom w:val="nil"/>
              <w:right w:val="nil"/>
            </w:tcBorders>
            <w:noWrap/>
            <w:vAlign w:val="bottom"/>
          </w:tcPr>
          <w:p>
            <w:pPr>
              <w:keepNext w:val="0"/>
              <w:keepLines w:val="0"/>
              <w:widowControl/>
              <w:suppressLineNumbers w:val="0"/>
              <w:shd w:val="clear"/>
              <w:jc w:val="both"/>
              <w:textAlignment w:val="bottom"/>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协同办公</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both"/>
              <w:rPr>
                <w:rFonts w:hint="eastAsia" w:ascii="仿宋" w:hAnsi="仿宋" w:eastAsia="仿宋" w:cs="仿宋"/>
                <w:i w:val="0"/>
                <w:iCs w:val="0"/>
                <w:color w:val="000000"/>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决策支持</w:t>
            </w:r>
          </w:p>
        </w:tc>
        <w:tc>
          <w:tcPr>
            <w:tcW w:w="1011"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center"/>
          </w:tcPr>
          <w:p>
            <w:pPr>
              <w:shd w:val="clear"/>
              <w:jc w:val="both"/>
              <w:rPr>
                <w:rFonts w:hint="eastAsia" w:ascii="仿宋" w:hAnsi="仿宋" w:eastAsia="仿宋" w:cs="仿宋"/>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45" w:type="pct"/>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约束性场景个数</w:t>
            </w:r>
          </w:p>
        </w:tc>
        <w:tc>
          <w:tcPr>
            <w:tcW w:w="101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b/>
                <w:bCs/>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b/>
                <w:bCs/>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45" w:type="pct"/>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指导性场景个数</w:t>
            </w:r>
          </w:p>
        </w:tc>
        <w:tc>
          <w:tcPr>
            <w:tcW w:w="101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b/>
                <w:bCs/>
                <w:i w:val="0"/>
                <w:iCs w:val="0"/>
                <w:color w:val="000000"/>
                <w:sz w:val="18"/>
                <w:szCs w:val="18"/>
                <w:highlight w:val="none"/>
                <w:u w:val="none"/>
              </w:rPr>
            </w:pPr>
          </w:p>
        </w:tc>
        <w:tc>
          <w:tcPr>
            <w:tcW w:w="113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b/>
                <w:bCs/>
                <w:i w:val="0"/>
                <w:iCs w:val="0"/>
                <w:color w:val="000000"/>
                <w:sz w:val="18"/>
                <w:szCs w:val="18"/>
                <w:highlight w:val="none"/>
                <w:u w:val="none"/>
              </w:rPr>
            </w:pPr>
          </w:p>
        </w:tc>
        <w:tc>
          <w:tcPr>
            <w:tcW w:w="10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hd w:val="clear"/>
              <w:jc w:val="both"/>
              <w:textAlignment w:val="bottom"/>
              <w:rPr>
                <w:rFonts w:hint="eastAsia" w:ascii="仿宋" w:hAnsi="仿宋" w:eastAsia="仿宋" w:cs="仿宋"/>
                <w:b/>
                <w:bCs/>
                <w:i w:val="0"/>
                <w:iCs w:val="0"/>
                <w:color w:val="000000"/>
                <w:sz w:val="18"/>
                <w:szCs w:val="18"/>
                <w:highlight w:val="none"/>
                <w:u w:val="none"/>
              </w:rPr>
            </w:pPr>
          </w:p>
        </w:tc>
      </w:tr>
    </w:tbl>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仿宋" w:hAnsi="仿宋" w:eastAsia="仿宋" w:cs="仿宋"/>
          <w:b w:val="0"/>
          <w:bCs w:val="0"/>
          <w:i w:val="0"/>
          <w:iCs w:val="0"/>
          <w:caps w:val="0"/>
          <w:color w:val="auto"/>
          <w:spacing w:val="0"/>
          <w:sz w:val="32"/>
          <w:szCs w:val="32"/>
          <w:highlight w:val="none"/>
          <w:shd w:val="clear"/>
          <w:lang w:val="en-US" w:eastAsia="zh-CN"/>
        </w:rPr>
      </w:pPr>
    </w:p>
    <w:p>
      <w:pPr>
        <w:jc w:val="both"/>
        <w:sectPr>
          <w:footerReference r:id="rId8" w:type="default"/>
          <w:pgSz w:w="11906" w:h="16838"/>
          <w:pgMar w:top="2098" w:right="1531" w:bottom="1361" w:left="1531" w:header="851" w:footer="992" w:gutter="0"/>
          <w:pgNumType w:fmt="decimal" w:start="1"/>
          <w:cols w:space="425" w:num="1"/>
          <w:docGrid w:type="lines" w:linePitch="312" w:charSpace="0"/>
        </w:sectPr>
      </w:pPr>
    </w:p>
    <w:p>
      <w:pPr>
        <w:keepNext/>
        <w:keepLines/>
        <w:numPr>
          <w:ilvl w:val="0"/>
          <w:numId w:val="0"/>
        </w:numPr>
        <w:spacing w:line="579" w:lineRule="exact"/>
        <w:jc w:val="both"/>
        <w:outlineLvl w:val="1"/>
        <w:rPr>
          <w:rFonts w:hint="default" w:ascii="方正黑体_GBK" w:hAnsi="方正黑体_GBK" w:eastAsia="方正黑体_GBK" w:cs="方正黑体_GBK"/>
          <w:bCs/>
          <w:kern w:val="44"/>
          <w:sz w:val="32"/>
          <w:szCs w:val="44"/>
          <w:lang w:val="en-US" w:eastAsia="zh-CN"/>
        </w:rPr>
      </w:pPr>
      <w:r>
        <w:rPr>
          <w:rFonts w:hint="eastAsia" w:ascii="方正黑体_GBK" w:hAnsi="方正黑体_GBK" w:eastAsia="方正黑体_GBK" w:cs="方正黑体_GBK"/>
          <w:bCs/>
          <w:kern w:val="44"/>
          <w:sz w:val="32"/>
          <w:szCs w:val="44"/>
          <w:lang w:val="en-US" w:eastAsia="zh-CN"/>
        </w:rPr>
        <w:t>附件1.4  项目已完成投资明细表</w:t>
      </w:r>
    </w:p>
    <w:p>
      <w:pPr>
        <w:numPr>
          <w:ilvl w:val="0"/>
          <w:numId w:val="0"/>
        </w:numPr>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项目已完成投资明细表</w:t>
      </w:r>
    </w:p>
    <w:tbl>
      <w:tblPr>
        <w:tblStyle w:val="14"/>
        <w:tblW w:w="146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1221"/>
        <w:gridCol w:w="1221"/>
        <w:gridCol w:w="1221"/>
        <w:gridCol w:w="1222"/>
        <w:gridCol w:w="1222"/>
        <w:gridCol w:w="1222"/>
        <w:gridCol w:w="1222"/>
        <w:gridCol w:w="1222"/>
        <w:gridCol w:w="1222"/>
        <w:gridCol w:w="1222"/>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类别</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供应商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合同金额（元）</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合同签订时间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发票记账凭证号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发票金额（不含税）</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发票时间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付款记账凭证号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付款金额</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付款时间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软件服务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上云用云</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必要的数据采集传输设备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咨询诊断、人才培训等服务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共计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bl>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sectPr>
          <w:footerReference r:id="rId9" w:type="default"/>
          <w:pgSz w:w="16838" w:h="11906" w:orient="landscape"/>
          <w:pgMar w:top="1800" w:right="1440" w:bottom="1800" w:left="1440" w:header="851" w:footer="992" w:gutter="0"/>
          <w:pgNumType w:fmt="decimal" w:start="1"/>
          <w:cols w:space="425" w:num="1"/>
          <w:docGrid w:type="lines" w:linePitch="312" w:charSpace="0"/>
        </w:sectPr>
      </w:pPr>
    </w:p>
    <w:tbl>
      <w:tblPr>
        <w:tblStyle w:val="14"/>
        <w:tblW w:w="146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注：合同、发票与支付凭证、记账凭证按列表顺序排列附后。</w:t>
            </w:r>
          </w:p>
        </w:tc>
      </w:tr>
    </w:tbl>
    <w:p>
      <w:pPr>
        <w:jc w:val="both"/>
        <w:rPr>
          <w:rFonts w:hint="default"/>
          <w:lang w:val="en-US" w:eastAsia="zh-CN"/>
        </w:rPr>
      </w:pPr>
    </w:p>
    <w:sectPr>
      <w:pgSz w:w="16838" w:h="11906" w:orient="landscape"/>
      <w:pgMar w:top="1531" w:right="2098" w:bottom="1531"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国标楷体">
    <w:altName w:val="方正楷体_GBK"/>
    <w:panose1 w:val="02000500000000000000"/>
    <w:charset w:val="86"/>
    <w:family w:val="auto"/>
    <w:pitch w:val="default"/>
    <w:sig w:usb0="00000000" w:usb1="00000000" w:usb2="00000000" w:usb3="00000000" w:csb0="00060007" w:csb1="00000000"/>
  </w:font>
  <w:font w:name="Wingdings 2">
    <w:panose1 w:val="05020102010507070707"/>
    <w:charset w:val="02"/>
    <w:family w:val="auto"/>
    <w:pitch w:val="default"/>
    <w:sig w:usb0="00000000" w:usb1="00000000" w:usb2="00000000" w:usb3="00000000" w:csb0="80000000" w:csb1="00000000"/>
  </w:font>
  <w:font w:name="国标小标宋">
    <w:altName w:val="方正小标宋_GBK"/>
    <w:panose1 w:val="02000500000000000000"/>
    <w:charset w:val="86"/>
    <w:family w:val="auto"/>
    <w:pitch w:val="default"/>
    <w:sig w:usb0="00000000" w:usb1="00000000" w:usb2="00000000" w:usb3="00000000" w:csb0="00060007" w:csb1="00000000"/>
  </w:font>
  <w:font w:name="国标黑体">
    <w:altName w:val="方正黑体_GBK"/>
    <w:panose1 w:val="02000500000000000000"/>
    <w:charset w:val="86"/>
    <w:family w:val="auto"/>
    <w:pitch w:val="default"/>
    <w:sig w:usb0="00000000" w:usb1="00000000" w:usb2="00000000" w:usb3="00000000" w:csb0="00040000"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mwuV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vZsLlSICAAA5BAAADgAAAAAAAAABACAAAAA1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lrSbOJAIAADkEAAAOAAAAAAAAAAEAIAAAADU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57DFB"/>
    <w:multiLevelType w:val="singleLevel"/>
    <w:tmpl w:val="81557DFB"/>
    <w:lvl w:ilvl="0" w:tentative="0">
      <w:start w:val="1"/>
      <w:numFmt w:val="chineseCounting"/>
      <w:suff w:val="nothing"/>
      <w:lvlText w:val="%1、"/>
      <w:lvlJc w:val="left"/>
      <w:pPr>
        <w:ind w:left="0" w:firstLine="420"/>
      </w:pPr>
      <w:rPr>
        <w:rFonts w:hint="eastAsia"/>
      </w:rPr>
    </w:lvl>
  </w:abstractNum>
  <w:abstractNum w:abstractNumId="1">
    <w:nsid w:val="AFCF0E8E"/>
    <w:multiLevelType w:val="singleLevel"/>
    <w:tmpl w:val="AFCF0E8E"/>
    <w:lvl w:ilvl="0" w:tentative="0">
      <w:start w:val="1"/>
      <w:numFmt w:val="decimal"/>
      <w:suff w:val="nothing"/>
      <w:lvlText w:val="%1．"/>
      <w:lvlJc w:val="left"/>
      <w:pPr>
        <w:ind w:left="0" w:firstLine="400"/>
      </w:pPr>
      <w:rPr>
        <w:rFonts w:hint="default"/>
      </w:rPr>
    </w:lvl>
  </w:abstractNum>
  <w:abstractNum w:abstractNumId="2">
    <w:nsid w:val="B9EA6BA3"/>
    <w:multiLevelType w:val="singleLevel"/>
    <w:tmpl w:val="B9EA6BA3"/>
    <w:lvl w:ilvl="0" w:tentative="0">
      <w:start w:val="1"/>
      <w:numFmt w:val="decimal"/>
      <w:suff w:val="nothing"/>
      <w:lvlText w:val="%1．"/>
      <w:lvlJc w:val="left"/>
      <w:pPr>
        <w:ind w:left="0" w:firstLine="400"/>
      </w:pPr>
      <w:rPr>
        <w:rFonts w:hint="default"/>
      </w:rPr>
    </w:lvl>
  </w:abstractNum>
  <w:abstractNum w:abstractNumId="3">
    <w:nsid w:val="CD4FA368"/>
    <w:multiLevelType w:val="singleLevel"/>
    <w:tmpl w:val="CD4FA368"/>
    <w:lvl w:ilvl="0" w:tentative="0">
      <w:start w:val="1"/>
      <w:numFmt w:val="decimal"/>
      <w:suff w:val="nothing"/>
      <w:lvlText w:val="%1．"/>
      <w:lvlJc w:val="left"/>
      <w:pPr>
        <w:ind w:left="0" w:firstLine="400"/>
      </w:pPr>
      <w:rPr>
        <w:rFonts w:hint="default"/>
        <w:highlight w:val="none"/>
      </w:rPr>
    </w:lvl>
  </w:abstractNum>
  <w:abstractNum w:abstractNumId="4">
    <w:nsid w:val="EA6F767D"/>
    <w:multiLevelType w:val="singleLevel"/>
    <w:tmpl w:val="EA6F767D"/>
    <w:lvl w:ilvl="0" w:tentative="0">
      <w:start w:val="1"/>
      <w:numFmt w:val="decimal"/>
      <w:suff w:val="nothing"/>
      <w:lvlText w:val="%1．"/>
      <w:lvlJc w:val="left"/>
      <w:pPr>
        <w:ind w:left="0" w:firstLine="400"/>
      </w:pPr>
      <w:rPr>
        <w:rFonts w:hint="default"/>
      </w:rPr>
    </w:lvl>
  </w:abstractNum>
  <w:abstractNum w:abstractNumId="5">
    <w:nsid w:val="FD7B4FBB"/>
    <w:multiLevelType w:val="singleLevel"/>
    <w:tmpl w:val="FD7B4FBB"/>
    <w:lvl w:ilvl="0" w:tentative="0">
      <w:start w:val="1"/>
      <w:numFmt w:val="decimal"/>
      <w:suff w:val="nothing"/>
      <w:lvlText w:val="%1．"/>
      <w:lvlJc w:val="left"/>
      <w:pPr>
        <w:ind w:left="0" w:firstLine="400"/>
      </w:pPr>
      <w:rPr>
        <w:rFonts w:hint="default"/>
      </w:rPr>
    </w:lvl>
  </w:abstractNum>
  <w:abstractNum w:abstractNumId="6">
    <w:nsid w:val="0C32EAFD"/>
    <w:multiLevelType w:val="singleLevel"/>
    <w:tmpl w:val="0C32EAFD"/>
    <w:lvl w:ilvl="0" w:tentative="0">
      <w:start w:val="1"/>
      <w:numFmt w:val="bullet"/>
      <w:lvlText w:val=""/>
      <w:lvlJc w:val="left"/>
      <w:pPr>
        <w:ind w:left="420" w:hanging="420"/>
      </w:pPr>
      <w:rPr>
        <w:rFonts w:hint="default" w:ascii="Wingdings" w:hAnsi="Wingdings"/>
      </w:rPr>
    </w:lvl>
  </w:abstractNum>
  <w:abstractNum w:abstractNumId="7">
    <w:nsid w:val="282F4954"/>
    <w:multiLevelType w:val="multilevel"/>
    <w:tmpl w:val="282F4954"/>
    <w:lvl w:ilvl="0" w:tentative="0">
      <w:start w:val="1"/>
      <w:numFmt w:val="chineseCountingThousand"/>
      <w:suff w:val="nothing"/>
      <w:lvlText w:val="%1、"/>
      <w:lvlJc w:val="left"/>
      <w:pPr>
        <w:ind w:left="0" w:firstLine="641"/>
      </w:pPr>
      <w:rPr>
        <w:rFonts w:hint="default" w:ascii="Times New Roman" w:hAnsi="Times New Roman" w:eastAsia="方正黑体_GBK"/>
        <w:b w:val="0"/>
        <w:i w:val="0"/>
        <w:sz w:val="32"/>
      </w:rPr>
    </w:lvl>
    <w:lvl w:ilvl="1" w:tentative="0">
      <w:start w:val="1"/>
      <w:numFmt w:val="chineseCountingThousand"/>
      <w:suff w:val="nothing"/>
      <w:lvlText w:val="（%2）"/>
      <w:lvlJc w:val="left"/>
      <w:pPr>
        <w:ind w:left="0" w:firstLine="641"/>
      </w:pPr>
      <w:rPr>
        <w:rFonts w:hint="default" w:ascii="Times New Roman" w:hAnsi="Times New Roman" w:eastAsia="方正楷体_GBK"/>
        <w:b w:val="0"/>
        <w:i w:val="0"/>
        <w:sz w:val="32"/>
      </w:rPr>
    </w:lvl>
    <w:lvl w:ilvl="2" w:tentative="0">
      <w:start w:val="1"/>
      <w:numFmt w:val="decimal"/>
      <w:suff w:val="space"/>
      <w:lvlText w:val="%3. "/>
      <w:lvlJc w:val="left"/>
      <w:pPr>
        <w:ind w:left="0" w:firstLine="641"/>
      </w:pPr>
      <w:rPr>
        <w:rFonts w:hint="default" w:ascii="Times New Roman" w:hAnsi="Times New Roman" w:eastAsia="方正仿宋_GBK"/>
        <w:b w:val="0"/>
        <w:i w:val="0"/>
        <w:sz w:val="32"/>
      </w:rPr>
    </w:lvl>
    <w:lvl w:ilvl="3" w:tentative="0">
      <w:start w:val="1"/>
      <w:numFmt w:val="decimal"/>
      <w:suff w:val="nothing"/>
      <w:lvlText w:val="（%4）"/>
      <w:lvlJc w:val="left"/>
      <w:pPr>
        <w:ind w:left="0" w:firstLine="641"/>
      </w:pPr>
      <w:rPr>
        <w:rFonts w:hint="default" w:ascii="Times New Roman" w:hAnsi="Times New Roman" w:eastAsia="方正仿宋_GBK"/>
        <w:b w:val="0"/>
        <w:i w:val="0"/>
        <w:sz w:val="32"/>
      </w:rPr>
    </w:lvl>
    <w:lvl w:ilvl="4" w:tentative="0">
      <w:start w:val="1"/>
      <w:numFmt w:val="decimal"/>
      <w:suff w:val="nothing"/>
      <w:lvlText w:val="%5）"/>
      <w:lvlJc w:val="left"/>
      <w:pPr>
        <w:ind w:left="0" w:firstLine="961"/>
      </w:pPr>
      <w:rPr>
        <w:rFonts w:hint="default" w:ascii="Times New Roman" w:hAnsi="Times New Roman" w:eastAsia="方正仿宋_GBK"/>
        <w:b w:val="0"/>
        <w:i w:val="0"/>
        <w:sz w:val="32"/>
      </w:rPr>
    </w:lvl>
    <w:lvl w:ilvl="5" w:tentative="0">
      <w:start w:val="1"/>
      <w:numFmt w:val="none"/>
      <w:suff w:val="nothing"/>
      <w:lvlText w:val="%6"/>
      <w:lvlJc w:val="left"/>
      <w:pPr>
        <w:ind w:left="0" w:firstLine="641"/>
      </w:pPr>
      <w:rPr>
        <w:rFonts w:hint="default" w:ascii="Times New Roman" w:hAnsi="Times New Roman" w:eastAsia="方正仿宋_GBK"/>
        <w:b w:val="0"/>
        <w:i w:val="0"/>
        <w:color w:val="auto"/>
        <w:sz w:val="32"/>
      </w:rPr>
    </w:lvl>
    <w:lvl w:ilvl="6" w:tentative="0">
      <w:start w:val="1"/>
      <w:numFmt w:val="none"/>
      <w:suff w:val="nothing"/>
      <w:lvlText w:val=""/>
      <w:lvlJc w:val="left"/>
      <w:pPr>
        <w:ind w:left="0" w:firstLine="641"/>
      </w:pPr>
      <w:rPr>
        <w:rFonts w:hint="default" w:ascii="Times New Roman" w:hAnsi="Times New Roman" w:eastAsia="方正仿宋_GBK"/>
        <w:b w:val="0"/>
        <w:i w:val="0"/>
        <w:sz w:val="32"/>
      </w:rPr>
    </w:lvl>
    <w:lvl w:ilvl="7" w:tentative="0">
      <w:start w:val="1"/>
      <w:numFmt w:val="none"/>
      <w:suff w:val="nothing"/>
      <w:lvlText w:val=""/>
      <w:lvlJc w:val="left"/>
      <w:pPr>
        <w:ind w:left="0" w:firstLine="641"/>
      </w:pPr>
      <w:rPr>
        <w:rFonts w:hint="default" w:ascii="Times New Roman" w:hAnsi="Times New Roman" w:eastAsia="方正仿宋_GBK"/>
        <w:b w:val="0"/>
        <w:i w:val="0"/>
        <w:sz w:val="32"/>
      </w:rPr>
    </w:lvl>
    <w:lvl w:ilvl="8" w:tentative="0">
      <w:start w:val="1"/>
      <w:numFmt w:val="none"/>
      <w:suff w:val="nothing"/>
      <w:lvlText w:val=""/>
      <w:lvlJc w:val="left"/>
      <w:pPr>
        <w:ind w:left="0" w:firstLine="641"/>
      </w:pPr>
      <w:rPr>
        <w:rFonts w:hint="default" w:ascii="Times New Roman" w:hAnsi="Times New Roman" w:eastAsia="方正仿宋_GBK"/>
        <w:b w:val="0"/>
        <w:i w:val="0"/>
        <w:sz w:val="32"/>
      </w:rPr>
    </w:lvl>
  </w:abstractNum>
  <w:abstractNum w:abstractNumId="8">
    <w:nsid w:val="29236166"/>
    <w:multiLevelType w:val="singleLevel"/>
    <w:tmpl w:val="29236166"/>
    <w:lvl w:ilvl="0" w:tentative="0">
      <w:start w:val="2"/>
      <w:numFmt w:val="chineseCounting"/>
      <w:suff w:val="nothing"/>
      <w:lvlText w:val="（%1）"/>
      <w:lvlJc w:val="left"/>
      <w:rPr>
        <w:rFonts w:hint="eastAsia"/>
      </w:rPr>
    </w:lvl>
  </w:abstractNum>
  <w:abstractNum w:abstractNumId="9">
    <w:nsid w:val="77EFFB9C"/>
    <w:multiLevelType w:val="singleLevel"/>
    <w:tmpl w:val="77EFFB9C"/>
    <w:lvl w:ilvl="0" w:tentative="0">
      <w:start w:val="1"/>
      <w:numFmt w:val="chineseCounting"/>
      <w:suff w:val="nothing"/>
      <w:lvlText w:val="（%1）"/>
      <w:lvlJc w:val="left"/>
      <w:rPr>
        <w:rFonts w:hint="eastAsia"/>
      </w:rPr>
    </w:lvl>
  </w:abstractNum>
  <w:num w:numId="1">
    <w:abstractNumId w:val="7"/>
    <w:lvlOverride w:ilvl="0">
      <w:lvl w:ilvl="0" w:tentative="1">
        <w:start w:val="1"/>
        <w:numFmt w:val="chineseCountingThousand"/>
        <w:pStyle w:val="21"/>
        <w:suff w:val="nothing"/>
        <w:lvlText w:val="%1、"/>
        <w:lvlJc w:val="left"/>
        <w:pPr>
          <w:ind w:left="0" w:firstLine="641"/>
        </w:pPr>
        <w:rPr>
          <w:rFonts w:ascii="Times New Roman" w:hAnsi="Times New Roman" w:cs="Times New Roman"/>
          <w:b w:val="0"/>
          <w:bCs w:val="0"/>
          <w:i w:val="0"/>
          <w:iCs w:val="0"/>
          <w:caps w:val="0"/>
          <w:smallCaps w:val="0"/>
          <w:strike w:val="0"/>
          <w:dstrike w:val="0"/>
          <w:vanish w:val="0"/>
          <w:spacing w:val="0"/>
          <w:position w:val="0"/>
          <w:u w:val="none"/>
          <w:vertAlign w:val="baseline"/>
          <w14:ligatures w14:val="none"/>
          <w14:numForm w14:val="default"/>
          <w14:numSpacing w14:val="default"/>
          <w14:cntxtalts w14:val="0"/>
        </w:rPr>
      </w:lvl>
    </w:lvlOverride>
  </w:num>
  <w:num w:numId="2">
    <w:abstractNumId w:val="0"/>
  </w:num>
  <w:num w:numId="3">
    <w:abstractNumId w:val="1"/>
  </w:num>
  <w:num w:numId="4">
    <w:abstractNumId w:val="3"/>
  </w:num>
  <w:num w:numId="5">
    <w:abstractNumId w:val="2"/>
  </w:num>
  <w:num w:numId="6">
    <w:abstractNumId w:val="4"/>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2665A"/>
    <w:rsid w:val="005C79A5"/>
    <w:rsid w:val="05952FAB"/>
    <w:rsid w:val="07F566AD"/>
    <w:rsid w:val="0A9702B2"/>
    <w:rsid w:val="0C872834"/>
    <w:rsid w:val="10377DF2"/>
    <w:rsid w:val="128615C7"/>
    <w:rsid w:val="13F80454"/>
    <w:rsid w:val="18C60935"/>
    <w:rsid w:val="1D545160"/>
    <w:rsid w:val="2B8E167D"/>
    <w:rsid w:val="2C2F1C23"/>
    <w:rsid w:val="34152930"/>
    <w:rsid w:val="34F22868"/>
    <w:rsid w:val="36DD4DA4"/>
    <w:rsid w:val="37416438"/>
    <w:rsid w:val="392F1076"/>
    <w:rsid w:val="3A8F2BA2"/>
    <w:rsid w:val="3B7B91D6"/>
    <w:rsid w:val="3CE67488"/>
    <w:rsid w:val="43CC7746"/>
    <w:rsid w:val="45D71025"/>
    <w:rsid w:val="46C2665A"/>
    <w:rsid w:val="46F24544"/>
    <w:rsid w:val="47EA701A"/>
    <w:rsid w:val="4D5D2D60"/>
    <w:rsid w:val="4E8E48EC"/>
    <w:rsid w:val="53FF72FF"/>
    <w:rsid w:val="57583569"/>
    <w:rsid w:val="57CD5244"/>
    <w:rsid w:val="58D0450B"/>
    <w:rsid w:val="5CC823F3"/>
    <w:rsid w:val="5FF0755A"/>
    <w:rsid w:val="63C04ADC"/>
    <w:rsid w:val="671464E6"/>
    <w:rsid w:val="68F37B43"/>
    <w:rsid w:val="6D97415E"/>
    <w:rsid w:val="6DE02450"/>
    <w:rsid w:val="6FFFD3B6"/>
    <w:rsid w:val="76480E07"/>
    <w:rsid w:val="76642F6C"/>
    <w:rsid w:val="79B934C1"/>
    <w:rsid w:val="7A374259"/>
    <w:rsid w:val="7E48CC11"/>
    <w:rsid w:val="7E7724EE"/>
    <w:rsid w:val="7E7FE0CF"/>
    <w:rsid w:val="9E6F2C66"/>
    <w:rsid w:val="BBFF679B"/>
    <w:rsid w:val="EFE120F8"/>
    <w:rsid w:val="F7EF49AF"/>
    <w:rsid w:val="F9FD3CBB"/>
    <w:rsid w:val="F9FE7248"/>
    <w:rsid w:val="FD9603FB"/>
    <w:rsid w:val="FF7F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style>
  <w:style w:type="paragraph" w:styleId="4">
    <w:name w:val="caption"/>
    <w:next w:val="5"/>
    <w:unhideWhenUsed/>
    <w:qFormat/>
    <w:uiPriority w:val="35"/>
    <w:pPr>
      <w:spacing w:line="560" w:lineRule="exact"/>
      <w:jc w:val="center"/>
    </w:pPr>
    <w:rPr>
      <w:rFonts w:ascii="Times New Roman" w:hAnsi="Times New Roman" w:eastAsia="方正黑体_GBK" w:cs="Times New Roman"/>
      <w:kern w:val="2"/>
      <w:sz w:val="24"/>
      <w:szCs w:val="32"/>
      <w:lang w:val="en-US" w:eastAsia="zh-CN" w:bidi="ar-SA"/>
    </w:rPr>
  </w:style>
  <w:style w:type="paragraph" w:customStyle="1" w:styleId="5">
    <w:name w:val="03 正文"/>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line="360" w:lineRule="auto"/>
      <w:ind w:firstLine="0" w:firstLineChars="0"/>
      <w:jc w:val="left"/>
    </w:pPr>
    <w:rPr>
      <w:rFonts w:ascii="仿宋_GB2312" w:hAnsi="仿宋_GB2312"/>
      <w:sz w:val="28"/>
    </w:rPr>
  </w:style>
  <w:style w:type="paragraph" w:styleId="8">
    <w:name w:val="Body Text Indent"/>
    <w:basedOn w:val="1"/>
    <w:qFormat/>
    <w:uiPriority w:val="0"/>
    <w:pPr>
      <w:suppressAutoHyphens/>
    </w:pPr>
    <w:rPr>
      <w:rFonts w:ascii="仿宋_GB2312" w:hAnsi="仿宋_GB2312"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nhideWhenUsed/>
    <w:qFormat/>
    <w:uiPriority w:val="99"/>
    <w:pPr>
      <w:tabs>
        <w:tab w:val="center" w:pos="4153"/>
        <w:tab w:val="right" w:pos="8306"/>
      </w:tabs>
      <w:snapToGrid w:val="0"/>
      <w:spacing w:line="240" w:lineRule="auto"/>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unhideWhenUsed/>
    <w:qFormat/>
    <w:uiPriority w:val="99"/>
    <w:pPr>
      <w:spacing w:after="120"/>
      <w:ind w:firstLine="420" w:firstLineChars="100"/>
    </w:pPr>
    <w:rPr>
      <w:rFonts w:ascii="Arial" w:hAnsi="Arial" w:eastAsia="Arial" w:cs="Arial"/>
      <w:sz w:val="21"/>
      <w:szCs w:val="21"/>
    </w:rPr>
  </w:style>
  <w:style w:type="paragraph" w:styleId="13">
    <w:name w:val="Body Text First Indent 2"/>
    <w:basedOn w:val="8"/>
    <w:qFormat/>
    <w:uiPriority w:val="0"/>
    <w:pPr>
      <w:tabs>
        <w:tab w:val="left" w:pos="0"/>
      </w:tabs>
    </w:pPr>
  </w:style>
  <w:style w:type="table" w:styleId="15">
    <w:name w:val="Table Grid"/>
    <w:basedOn w:val="14"/>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single"/>
    </w:rPr>
  </w:style>
  <w:style w:type="paragraph" w:customStyle="1" w:styleId="18">
    <w:name w:val="样式1"/>
    <w:basedOn w:val="1"/>
    <w:qFormat/>
    <w:uiPriority w:val="0"/>
    <w:pPr>
      <w:spacing w:line="360" w:lineRule="auto"/>
      <w:ind w:firstLine="420" w:firstLineChars="200"/>
      <w:jc w:val="left"/>
    </w:pPr>
    <w:rPr>
      <w:rFonts w:hint="eastAsia" w:ascii="仿宋_GB2312" w:hAnsi="仿宋_GB2312" w:eastAsia="仿宋_GB2312" w:cs="Times New Roman"/>
      <w:sz w:val="32"/>
    </w:rPr>
  </w:style>
  <w:style w:type="paragraph" w:customStyle="1" w:styleId="19">
    <w:name w:val="Heading 1636"/>
    <w:basedOn w:val="20"/>
    <w:next w:val="20"/>
    <w:qFormat/>
    <w:uiPriority w:val="9"/>
    <w:pPr>
      <w:keepNext/>
      <w:keepLines/>
      <w:spacing w:before="480" w:after="200"/>
      <w:outlineLvl w:val="0"/>
    </w:pPr>
    <w:rPr>
      <w:rFonts w:ascii="Arial" w:hAnsi="Arial" w:eastAsia="Arial" w:cs="Arial"/>
      <w:sz w:val="40"/>
      <w:szCs w:val="40"/>
    </w:rPr>
  </w:style>
  <w:style w:type="paragraph" w:customStyle="1" w:styleId="20">
    <w:name w:val="Normal812"/>
    <w:qFormat/>
    <w:uiPriority w:val="0"/>
    <w:rPr>
      <w:rFonts w:hint="default" w:ascii="Calibri" w:hAnsi="Calibri" w:eastAsia="宋体" w:cs="Times New Roman"/>
    </w:rPr>
  </w:style>
  <w:style w:type="paragraph" w:customStyle="1" w:styleId="21">
    <w:name w:val="04 一级标题"/>
    <w:next w:val="5"/>
    <w:qFormat/>
    <w:uiPriority w:val="0"/>
    <w:pPr>
      <w:widowControl w:val="0"/>
      <w:numPr>
        <w:ilvl w:val="0"/>
        <w:numId w:val="1"/>
      </w:numPr>
      <w:spacing w:line="560" w:lineRule="exact"/>
      <w:jc w:val="both"/>
      <w:outlineLvl w:val="0"/>
    </w:pPr>
    <w:rPr>
      <w:rFonts w:ascii="Times New Roman" w:hAnsi="Times New Roman" w:eastAsia="方正黑体_GBK" w:cs="Times New Roman"/>
      <w:kern w:val="2"/>
      <w:sz w:val="32"/>
      <w:szCs w:val="3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1343</Words>
  <Characters>1373</Characters>
  <Lines>0</Lines>
  <Paragraphs>0</Paragraphs>
  <TotalTime>1</TotalTime>
  <ScaleCrop>false</ScaleCrop>
  <LinksUpToDate>false</LinksUpToDate>
  <CharactersWithSpaces>1373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2025-02-22T14:20:00Z</dcterms:created>
  <dc:creator>zd</dc:creator>
  <cp:lastModifiedBy>user</cp:lastModifiedBy>
  <dcterms:modified xsi:type="dcterms:W3CDTF">2025-07-29T14:50:01Z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BA2A70C3D381405889EB8D68CAE3E549_13</vt:lpwstr>
  </property>
  <property fmtid="{D5CDD505-2E9C-101B-9397-08002B2CF9AE}" pid="4" name="KSOTemplateDocerSaveRecord">
    <vt:lpwstr>eyJoZGlkIjoiYjc2NGYwYTZlOTUyMzNmNDZjNmYxMmIzNzVhZjM0ZjgiLCJ1c2VySWQiOiIzMTMwNTQ0OTcifQ==</vt:lpwstr>
  </property>
</Properties>
</file>